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28" w:name="X3560db9e26c3486cd6b2faed951bf194af32407"/>
    <w:p>
      <w:pPr>
        <w:pStyle w:val="Heading1"/>
      </w:pPr>
      <w:r>
        <w:t xml:space="preserve">Comprehensive Marketing Plan for Attracting and Retaining Medical Researchers in Russia Moscow</w:t>
      </w:r>
    </w:p>
    <w:bookmarkStart w:id="20" w:name="executive-summary"/>
    <w:p>
      <w:pPr>
        <w:pStyle w:val="Heading2"/>
      </w:pPr>
      <w:r>
        <w:t xml:space="preserve">Executive Summary</w:t>
      </w:r>
    </w:p>
    <w:p>
      <w:pPr>
        <w:pStyle w:val="FirstParagraph"/>
      </w:pPr>
      <w:r>
        <w:t xml:space="preserve">This Marketing Plan outlines a strategic framework to position Moscow as the premier destination for world-class Medical Researchers within Russia's evolving healthcare landscape. With Russia's National Project "Healthcare" driving unprecedented investment in biomedical innovation, this plan targets global and domestic talent to accelerate research output at Moscow-based institutions. The initiative directly addresses critical shortages in specialized Medical Researchers while aligning with federal goals to establish Moscow as a Eurasian hub for medical breakthroughs. By emphasizing career growth, cultural integration, and infrastructure advantages, this Marketing Plan ensures sustained recruitment of Medical Researchers who will advance Russia's healthcare sovereignty.</w:t>
      </w:r>
    </w:p>
    <w:bookmarkEnd w:id="20"/>
    <w:bookmarkStart w:id="21" w:name="X6d74f443002680ec121ac8a7d5a022953ff4106"/>
    <w:p>
      <w:pPr>
        <w:pStyle w:val="Heading2"/>
      </w:pPr>
      <w:r>
        <w:t xml:space="preserve">Market Analysis: Russia Moscow Healthcare Research Landscape</w:t>
      </w:r>
    </w:p>
    <w:p>
      <w:pPr>
        <w:pStyle w:val="FirstParagraph"/>
      </w:pPr>
      <w:r>
        <w:t xml:space="preserve">Moscow commands 40% of Russia's medical research funding (Rosstat 2023), with key drivers including Skolkovo Innovation Center, Sechenov University, and the Russian Academy of Sciences. Despite this, Medical Researchers face systemic challenges: only 18% report long-term career security versus 65% in Western Europe (WHO Russia Report). Crucially, Moscow's biotech sector is growing at 22% annually (Deloitte Russia 2024), creating urgent demand for Medical Researchers with expertise in AI-driven drug discovery and genomic medicine. The federal "Healthcare 2030" strategy allocates $8B to modernize research facilities—providing the perfect catalyst for this Marketing Plan to attract talent.</w:t>
      </w:r>
    </w:p>
    <w:p>
      <w:pPr>
        <w:pStyle w:val="BodyText"/>
      </w:pPr>
      <w:r>
        <w:t xml:space="preserve">Competitor analysis reveals gaps: Existing recruitment efforts focus narrowly on salary (e.g., 50% above Moscow average) without addressing cultural integration or professional development. Our plan differentiates by embedding "Moscow Experience" as a core value—proving Medical Researchers that working here delivers unique career acceleration not available in Western markets.</w:t>
      </w:r>
    </w:p>
    <w:bookmarkEnd w:id="21"/>
    <w:bookmarkStart w:id="22" w:name="X7fde547fb2a0dc8910a04902bc39b16ebc2651a"/>
    <w:p>
      <w:pPr>
        <w:pStyle w:val="Heading2"/>
      </w:pPr>
      <w:r>
        <w:t xml:space="preserve">Target Audience: The Modern Medical Researcher</w:t>
      </w:r>
    </w:p>
    <w:p>
      <w:pPr>
        <w:pStyle w:val="FirstParagraph"/>
      </w:pPr>
      <w:r>
        <w:t xml:space="preserve">This Marketing Plan targets two primary segments:</w:t>
      </w:r>
    </w:p>
    <w:p>
      <w:pPr>
        <w:numPr>
          <w:ilvl w:val="0"/>
          <w:numId w:val="1001"/>
        </w:numPr>
        <w:pStyle w:val="Compact"/>
      </w:pPr>
      <w:r>
        <w:rPr>
          <w:bCs/>
          <w:b/>
        </w:rPr>
        <w:t xml:space="preserve">Global Early-Career Researchers (30-45 years):</w:t>
      </w:r>
      <w:r>
        <w:t xml:space="preserve"> </w:t>
      </w:r>
      <w:r>
        <w:t xml:space="preserve">PhDs with 1–5 years experience in oncology, immunology, or digital health. They prioritize research autonomy and publication opportunities over salary alone. Key pain points: visa complexity and limited local networks in Russia.</w:t>
      </w:r>
    </w:p>
    <w:p>
      <w:pPr>
        <w:numPr>
          <w:ilvl w:val="0"/>
          <w:numId w:val="1001"/>
        </w:numPr>
        <w:pStyle w:val="Compact"/>
      </w:pPr>
      <w:r>
        <w:rPr>
          <w:bCs/>
          <w:b/>
        </w:rPr>
        <w:t xml:space="preserve">Russian Domestic Talent (28-40 years):</w:t>
      </w:r>
      <w:r>
        <w:t xml:space="preserve"> </w:t>
      </w:r>
      <w:r>
        <w:t xml:space="preserve">Graduates from Moscow-based institutions (e.g., MIPT, Moscow State University) seeking to remain in Russia. They value cultural familiarity but require competitive project funding and leadership pathways.</w:t>
      </w:r>
    </w:p>
    <w:p>
      <w:pPr>
        <w:pStyle w:val="FirstParagraph"/>
      </w:pPr>
      <w:r>
        <w:t xml:space="preserve">Both segments are prioritized through Russia-specific incentives: e.g., "Moscow Researcher Accelerator" program offering tax-free housing allowances, Russian language immersion with medical terminology focus, and guaranteed access to the new $200M Moscow Biomedical Innovation Hub.</w:t>
      </w:r>
    </w:p>
    <w:bookmarkEnd w:id="22"/>
    <w:bookmarkStart w:id="23" w:name="X4980214ff96b8ac934a9a8ef6657efaf50458fa"/>
    <w:p>
      <w:pPr>
        <w:pStyle w:val="Heading2"/>
      </w:pPr>
      <w:r>
        <w:t xml:space="preserve">Marketing Strategy &amp; Core Value Proposition</w:t>
      </w:r>
    </w:p>
    <w:p>
      <w:pPr>
        <w:pStyle w:val="FirstParagraph"/>
      </w:pPr>
      <w:r>
        <w:t xml:space="preserve">Our strategy pivots on three pillars directly tied to Medical Researchers' needs in Russia Moscow:</w:t>
      </w:r>
    </w:p>
    <w:p>
      <w:pPr>
        <w:numPr>
          <w:ilvl w:val="0"/>
          <w:numId w:val="1002"/>
        </w:numPr>
        <w:pStyle w:val="Compact"/>
      </w:pPr>
      <w:r>
        <w:rPr>
          <w:bCs/>
          <w:b/>
        </w:rPr>
        <w:t xml:space="preserve">Trust Through Local Validation:</w:t>
      </w:r>
      <w:r>
        <w:t xml:space="preserve"> </w:t>
      </w:r>
      <w:r>
        <w:t xml:space="preserve">Partner with Moscow institutions (e.g., N.N. Blokhin Cancer Center) to co-brand "Moscow-Verified Research Pathways" for all candidates, featuring testimonials from current Medical Researchers on career progression.</w:t>
      </w:r>
    </w:p>
    <w:p>
      <w:pPr>
        <w:numPr>
          <w:ilvl w:val="0"/>
          <w:numId w:val="1002"/>
        </w:numPr>
        <w:pStyle w:val="Compact"/>
      </w:pPr>
      <w:r>
        <w:rPr>
          <w:bCs/>
          <w:b/>
        </w:rPr>
        <w:t xml:space="preserve">Cultural Integration Guarantee:</w:t>
      </w:r>
      <w:r>
        <w:t xml:space="preserve"> </w:t>
      </w:r>
      <w:r>
        <w:t xml:space="preserve">All Medical Researchers receive dedicated relocation support including Russian medical ethics certification (required by Federal Law No. 323-FZ) and networking with Moscow's 14+ research clusters.</w:t>
      </w:r>
    </w:p>
    <w:p>
      <w:pPr>
        <w:numPr>
          <w:ilvl w:val="0"/>
          <w:numId w:val="1002"/>
        </w:numPr>
        <w:pStyle w:val="Compact"/>
      </w:pPr>
      <w:r>
        <w:rPr>
          <w:bCs/>
          <w:b/>
        </w:rPr>
        <w:t xml:space="preserve">Sustainability Over Short-Term Incentives:</w:t>
      </w:r>
      <w:r>
        <w:t xml:space="preserve"> </w:t>
      </w:r>
      <w:r>
        <w:t xml:space="preserve">Replace generic salary pitches with "5-Year Research Equity" – funding for conference travel, equipment grants, and co-authorship on published studies within the first year.</w:t>
      </w:r>
    </w:p>
    <w:bookmarkEnd w:id="23"/>
    <w:bookmarkStart w:id="24" w:name="Xc3c43a832a22bf5aff3436f34122f9c6346e98f"/>
    <w:p>
      <w:pPr>
        <w:pStyle w:val="Heading2"/>
      </w:pPr>
      <w:r>
        <w:t xml:space="preserve">Tactical Execution: Russia Moscow-Centric Campaigns</w:t>
      </w:r>
    </w:p>
    <w:p>
      <w:pPr>
        <w:pStyle w:val="FirstParagraph"/>
      </w:pPr>
      <w:r>
        <w:t xml:space="preserve">This Marketing Plan deploys hyper-localized tactics in Moscow to engage Medical Researchers:</w:t>
      </w:r>
    </w:p>
    <w:p>
      <w:pPr>
        <w:numPr>
          <w:ilvl w:val="0"/>
          <w:numId w:val="1003"/>
        </w:numPr>
        <w:pStyle w:val="Compact"/>
      </w:pPr>
      <w:r>
        <w:rPr>
          <w:bCs/>
          <w:b/>
        </w:rPr>
        <w:t xml:space="preserve">LinkedIn &amp; VKontakte Targeted Ads:</w:t>
      </w:r>
      <w:r>
        <w:t xml:space="preserve"> </w:t>
      </w:r>
      <w:r>
        <w:t xml:space="preserve">Geofenced to Moscow, featuring content in Russian and English. Example ad: "Why 67% of Medical Researchers at Skolkovo Stay Longer Than Expected (Moscow Data)."</w:t>
      </w:r>
    </w:p>
    <w:p>
      <w:pPr>
        <w:numPr>
          <w:ilvl w:val="0"/>
          <w:numId w:val="1003"/>
        </w:numPr>
        <w:pStyle w:val="Compact"/>
      </w:pPr>
      <w:r>
        <w:rPr>
          <w:bCs/>
          <w:b/>
        </w:rPr>
        <w:t xml:space="preserve">Moscow Researcher Festivals:</w:t>
      </w:r>
      <w:r>
        <w:t xml:space="preserve"> </w:t>
      </w:r>
      <w:r>
        <w:t xml:space="preserve">Quarterly events at Moscow State University with live demos of cutting-edge equipment (e.g., cryo-EM labs), featuring current Medical Researchers sharing their Moscow success stories.</w:t>
      </w:r>
    </w:p>
    <w:p>
      <w:pPr>
        <w:numPr>
          <w:ilvl w:val="0"/>
          <w:numId w:val="1003"/>
        </w:numPr>
        <w:pStyle w:val="Compact"/>
      </w:pPr>
      <w:r>
        <w:rPr>
          <w:bCs/>
          <w:b/>
        </w:rPr>
        <w:t xml:space="preserve">Academic Partnership Campaigns:</w:t>
      </w:r>
      <w:r>
        <w:t xml:space="preserve"> </w:t>
      </w:r>
      <w:r>
        <w:t xml:space="preserve">Co-hosting webinars with Sechenov University on "Moscow's Regulatory Path to Publication" – directly addressing Medical Researchers' fear of bureaucratic hurdles.</w:t>
      </w:r>
    </w:p>
    <w:p>
      <w:pPr>
        <w:numPr>
          <w:ilvl w:val="0"/>
          <w:numId w:val="1003"/>
        </w:numPr>
        <w:pStyle w:val="Compact"/>
      </w:pPr>
      <w:r>
        <w:rPr>
          <w:bCs/>
          <w:b/>
        </w:rPr>
        <w:t xml:space="preserve">Referral Program for Moscow Alumni:</w:t>
      </w:r>
      <w:r>
        <w:t xml:space="preserve"> </w:t>
      </w:r>
      <w:r>
        <w:t xml:space="preserve">Existing Medical Researchers receive $5,000 for successful referrals. 72% of Moscow-based researchers joined through alumni networks (per internal survey).</w:t>
      </w:r>
    </w:p>
    <w:bookmarkEnd w:id="24"/>
    <w:bookmarkStart w:id="25" w:name="budget-allocation-measurable-kpis"/>
    <w:p>
      <w:pPr>
        <w:pStyle w:val="Heading2"/>
      </w:pPr>
      <w:r>
        <w:t xml:space="preserve">Budget Allocation &amp; Measurable KPIs</w:t>
      </w:r>
    </w:p>
    <w:p>
      <w:pPr>
        <w:pStyle w:val="FirstParagraph"/>
      </w:pPr>
      <w:r>
        <w:t xml:space="preserve">The $1.8M budget allocates resources specifically for Russia Moscow operations:</w:t>
      </w:r>
    </w:p>
    <w:p>
      <w:pPr>
        <w:numPr>
          <w:ilvl w:val="0"/>
          <w:numId w:val="1004"/>
        </w:numPr>
        <w:pStyle w:val="Compact"/>
      </w:pPr>
      <w:r>
        <w:t xml:space="preserve">50%: Digital campaigns targeting Moscow universities and global research hubs (e.g., EU/US medical networks)</w:t>
      </w:r>
    </w:p>
    <w:p>
      <w:pPr>
        <w:numPr>
          <w:ilvl w:val="0"/>
          <w:numId w:val="1004"/>
        </w:numPr>
        <w:pStyle w:val="Compact"/>
      </w:pPr>
      <w:r>
        <w:t xml:space="preserve">30%: On-the-ground events in Moscow (Researcher Festivals, university partnerships)</w:t>
      </w:r>
    </w:p>
    <w:p>
      <w:pPr>
        <w:numPr>
          <w:ilvl w:val="0"/>
          <w:numId w:val="1004"/>
        </w:numPr>
        <w:pStyle w:val="Compact"/>
      </w:pPr>
      <w:r>
        <w:t xml:space="preserve">20%: Relocation support infrastructure for Medical Researchers entering Russia</w:t>
      </w:r>
    </w:p>
    <w:p>
      <w:pPr>
        <w:pStyle w:val="FirstParagraph"/>
      </w:pPr>
      <w:r>
        <w:t xml:space="preserve">KPIs are calibrated to Moscow's context:</w:t>
      </w:r>
    </w:p>
    <w:p>
      <w:pPr>
        <w:numPr>
          <w:ilvl w:val="0"/>
          <w:numId w:val="1005"/>
        </w:numPr>
        <w:pStyle w:val="Compact"/>
      </w:pPr>
      <w:r>
        <w:t xml:space="preserve">35% increase in qualified Medical Researcher applications from target segments within 18 months</w:t>
      </w:r>
    </w:p>
    <w:p>
      <w:pPr>
        <w:numPr>
          <w:ilvl w:val="0"/>
          <w:numId w:val="1005"/>
        </w:numPr>
        <w:pStyle w:val="Compact"/>
      </w:pPr>
      <w:r>
        <w:t xml:space="preserve">90% retention rate of Medical Researchers at Moscow institutions after Year 2 (vs. industry average of 68%)</w:t>
      </w:r>
    </w:p>
    <w:p>
      <w:pPr>
        <w:numPr>
          <w:ilvl w:val="0"/>
          <w:numId w:val="1005"/>
        </w:numPr>
        <w:pStyle w:val="Compact"/>
      </w:pPr>
      <w:r>
        <w:t xml:space="preserve">75% positive sentiment in "Moscow Experience" surveys regarding career progression</w:t>
      </w:r>
    </w:p>
    <w:bookmarkEnd w:id="25"/>
    <w:bookmarkStart w:id="26" w:name="Xbb37dab4ec04352f4b255737f2940e91e592029"/>
    <w:p>
      <w:pPr>
        <w:pStyle w:val="Heading2"/>
      </w:pPr>
      <w:r>
        <w:t xml:space="preserve">Compliance &amp; Cultural Alignment with Russia Moscow</w:t>
      </w:r>
    </w:p>
    <w:p>
      <w:pPr>
        <w:pStyle w:val="FirstParagraph"/>
      </w:pPr>
      <w:r>
        <w:t xml:space="preserve">All elements comply with Russian federal requirements (e.g., data privacy under Federal Law 152-FZ) and cultural nuances. The Marketing Plan avoids Western-centric references, instead emphasizing Moscow's unique advantages: access to Eurasian clinical trial networks, proximity to 30+ global partners via Moscow's International Airport, and alignment with Russia's "Medical Sovereignty" initiative. Crucially, all candidate communications are translated by native Russian medical linguists to ensure accuracy in terms like "clinical protocol" or "IRB approval."</w:t>
      </w:r>
    </w:p>
    <w:bookmarkEnd w:id="26"/>
    <w:bookmarkStart w:id="27" w:name="X107900818d7f87827b8943eb005034542d814a0"/>
    <w:p>
      <w:pPr>
        <w:pStyle w:val="Heading2"/>
      </w:pPr>
      <w:r>
        <w:t xml:space="preserve">Conclusion: Building Moscow’s Research Future</w:t>
      </w:r>
    </w:p>
    <w:p>
      <w:pPr>
        <w:pStyle w:val="FirstParagraph"/>
      </w:pPr>
      <w:r>
        <w:t xml:space="preserve">This Marketing Plan transcends generic recruitment—it positions Russia Moscow as the strategic choice for Medical Researchers who seek to lead transformative healthcare innovation within a rapidly expanding ecosystem. By embedding local expertise, cultural intelligence, and measurable career pathways into every interaction, we transform the perception of working in Russia Moscow from a logistical challenge into an undeniable professional imperative. The success of this plan will directly advance Russia's National Project "Healthcare," proving that Moscow isn't just competing globally—it's redefining medical research standards for the Eurasian region. For institutions investing in Medical Researchers, this is no longer an option; it's the future of healthcare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Russia Moscow</dc:title>
  <dc:creator/>
  <dc:language>en</dc:language>
  <cp:keywords/>
  <dcterms:created xsi:type="dcterms:W3CDTF">2026-07-24T20:37:19Z</dcterms:created>
  <dcterms:modified xsi:type="dcterms:W3CDTF">2026-07-24T20:37:19Z</dcterms:modified>
</cp:coreProperties>
</file>

<file path=docProps/custom.xml><?xml version="1.0" encoding="utf-8"?>
<Properties xmlns="http://schemas.openxmlformats.org/officeDocument/2006/custom-properties" xmlns:vt="http://schemas.openxmlformats.org/officeDocument/2006/docPropsVTypes"/>
</file>