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Medical</w:t>
      </w:r>
      <w:r>
        <w:t xml:space="preserve"> </w:t>
      </w:r>
      <w:r>
        <w:t xml:space="preserve">Researcher</w:t>
      </w:r>
      <w:r>
        <w:t xml:space="preserve"> </w:t>
      </w:r>
      <w:r>
        <w:t xml:space="preserve">Recruitment</w:t>
      </w:r>
      <w:r>
        <w:t xml:space="preserve"> </w:t>
      </w:r>
      <w:r>
        <w:t xml:space="preserve">in</w:t>
      </w:r>
      <w:r>
        <w:t xml:space="preserve"> </w:t>
      </w:r>
      <w:r>
        <w:t xml:space="preserve">Spain</w:t>
      </w:r>
      <w:r>
        <w:t xml:space="preserve"> </w:t>
      </w:r>
      <w:r>
        <w:t xml:space="preserve">Barcelona</w:t>
      </w:r>
    </w:p>
    <w:bookmarkStart w:id="30" w:name="Xc69aafe4e424c6f748c16440b0d229893fe3b4b"/>
    <w:p>
      <w:pPr>
        <w:pStyle w:val="Heading1"/>
      </w:pPr>
      <w:r>
        <w:t xml:space="preserve">Strategic Marketing Plan: Attracting Top Medical Researchers to Spain Barcelona</w:t>
      </w:r>
    </w:p>
    <w:bookmarkStart w:id="20" w:name="executive-summary"/>
    <w:p>
      <w:pPr>
        <w:pStyle w:val="Heading2"/>
      </w:pPr>
      <w:r>
        <w:t xml:space="preserve">Executive Summary</w:t>
      </w:r>
    </w:p>
    <w:p>
      <w:pPr>
        <w:pStyle w:val="FirstParagraph"/>
      </w:pPr>
      <w:r>
        <w:t xml:space="preserve">This comprehensive Marketing Plan outlines a targeted strategy to position Barcelona, Spain as the premier destination for elite Medical Researchers seeking career advancement, innovation opportunities, and cultural enrichment. With Barcelona’s emergence as Europe’s second-largest life sciences hub after London—home to 120+ biotech firms and 35% of Spain’s clinical research activity—we present a data-driven approach to attract global talent. The plan leverages Barcelona’s unique ecosystem, government incentives, and quality-of-life advantages to create an irresistible value proposition for Medical Researchers at all career stages.</w:t>
      </w:r>
    </w:p>
    <w:bookmarkEnd w:id="20"/>
    <w:bookmarkStart w:id="21" w:name="Xd449298a04631db4f90cfe53719d1a9700c2cea"/>
    <w:p>
      <w:pPr>
        <w:pStyle w:val="Heading2"/>
      </w:pPr>
      <w:r>
        <w:t xml:space="preserve">Market Analysis: Spain Barcelona's Medical Research Landscape</w:t>
      </w:r>
    </w:p>
    <w:p>
      <w:pPr>
        <w:pStyle w:val="FirstParagraph"/>
      </w:pPr>
      <w:r>
        <w:t xml:space="preserve">Barcelona’s life sciences sector generates €14 billion annually (Pharma Industry Report 2023), driven by world-class institutions like the Hospital Clínic-IDIBAPS, Barcelona Biomedical Research Park (PRBB), and the University of Barcelona. However, a critical talent gap persists: 68% of research organizations report difficulty attracting specialized Medical Researchers due to competition from London, Zurich, and Boston. Spain’s national "Strategy for Scientific and Technical Talent" offers tax incentives (30% reduction for researchers moving to Catalonia) that we will amplify through this campaign. Crucially, Barcelona offers a 40% lower cost of living than London while maintaining exceptional research infrastructure—making it the optimal balance for Medical Researchers seeking career growth without lifestyle compromise.</w:t>
      </w:r>
    </w:p>
    <w:bookmarkEnd w:id="21"/>
    <w:bookmarkStart w:id="22" w:name="X375c60bf2e3738a887d34a6fb7a817c76890451"/>
    <w:p>
      <w:pPr>
        <w:pStyle w:val="Heading2"/>
      </w:pPr>
      <w:r>
        <w:t xml:space="preserve">Target Audience: Defining the Ideal Medical Researcher</w:t>
      </w:r>
    </w:p>
    <w:p>
      <w:pPr>
        <w:pStyle w:val="FirstParagraph"/>
      </w:pPr>
      <w:r>
        <w:t xml:space="preserve">Our primary audience comprises:</w:t>
      </w:r>
    </w:p>
    <w:p>
      <w:pPr>
        <w:numPr>
          <w:ilvl w:val="0"/>
          <w:numId w:val="1001"/>
        </w:numPr>
        <w:pStyle w:val="Compact"/>
      </w:pPr>
      <w:r>
        <w:rPr>
          <w:bCs/>
          <w:b/>
        </w:rPr>
        <w:t xml:space="preserve">Early-career Medical Researchers</w:t>
      </w:r>
      <w:r>
        <w:t xml:space="preserve"> </w:t>
      </w:r>
      <w:r>
        <w:t xml:space="preserve">(PhD, 0-5 years post-grad): Seeking funded projects, mentorship, and international exposure.</w:t>
      </w:r>
    </w:p>
    <w:p>
      <w:pPr>
        <w:numPr>
          <w:ilvl w:val="0"/>
          <w:numId w:val="1001"/>
        </w:numPr>
        <w:pStyle w:val="Compact"/>
      </w:pPr>
      <w:r>
        <w:rPr>
          <w:bCs/>
          <w:b/>
        </w:rPr>
        <w:t xml:space="preserve">Senior Medical Researchers</w:t>
      </w:r>
      <w:r>
        <w:t xml:space="preserve">: Looking to lead clinical trials or establish independent labs with access to Spain’s 83% public health funding allocation for R&amp;D.</w:t>
      </w:r>
    </w:p>
    <w:p>
      <w:pPr>
        <w:numPr>
          <w:ilvl w:val="0"/>
          <w:numId w:val="1001"/>
        </w:numPr>
        <w:pStyle w:val="Compact"/>
      </w:pPr>
      <w:r>
        <w:rPr>
          <w:bCs/>
          <w:b/>
        </w:rPr>
        <w:t xml:space="preserve">Transnational Medical Researchers</w:t>
      </w:r>
      <w:r>
        <w:t xml:space="preserve"> </w:t>
      </w:r>
      <w:r>
        <w:t xml:space="preserve">(EU/US): Prioritizing EU regulatory expertise for global drug development.</w:t>
      </w:r>
    </w:p>
    <w:p>
      <w:pPr>
        <w:pStyle w:val="FirstParagraph"/>
      </w:pPr>
      <w:r>
        <w:t xml:space="preserve">We will segment messaging by career stage: early-career focus on training opportunities; senior researchers on autonomy and impact. All communications emphasize Barcelona’s unique synergy of academic excellence, healthcare innovation, and Mediterranean lifestyle—addressing the unspoken need for work-life integration that drives 72% of Medical Researchers to consider relocation (Nature Careers Survey 2023).</w:t>
      </w:r>
    </w:p>
    <w:bookmarkEnd w:id="22"/>
    <w:bookmarkStart w:id="23" w:name="X75fac623a1676b58088d2d441f9ba1f3771f311"/>
    <w:p>
      <w:pPr>
        <w:pStyle w:val="Heading2"/>
      </w:pPr>
      <w:r>
        <w:t xml:space="preserve">Unique Value Proposition: Why Spain Barcelona?</w:t>
      </w:r>
    </w:p>
    <w:p>
      <w:pPr>
        <w:pStyle w:val="FirstParagraph"/>
      </w:pPr>
      <w:r>
        <w:t xml:space="preserve">We position Barcelona as the only European city offering:</w:t>
      </w:r>
    </w:p>
    <w:p>
      <w:pPr>
        <w:numPr>
          <w:ilvl w:val="0"/>
          <w:numId w:val="1002"/>
        </w:numPr>
        <w:pStyle w:val="Compact"/>
      </w:pPr>
      <w:r>
        <w:rPr>
          <w:bCs/>
          <w:b/>
        </w:rPr>
        <w:t xml:space="preserve">Regulatory Acceleration</w:t>
      </w:r>
      <w:r>
        <w:t xml:space="preserve">: Access to Spain’s streamlined clinical trial approval process (35% faster than EU average).</w:t>
      </w:r>
    </w:p>
    <w:p>
      <w:pPr>
        <w:numPr>
          <w:ilvl w:val="0"/>
          <w:numId w:val="1002"/>
        </w:numPr>
        <w:pStyle w:val="Compact"/>
      </w:pPr>
      <w:r>
        <w:rPr>
          <w:bCs/>
          <w:b/>
        </w:rPr>
        <w:t xml:space="preserve">Collaborative Ecosystem</w:t>
      </w:r>
      <w:r>
        <w:t xml:space="preserve">: Direct partnerships between PRBB, 14 hospitals, and 30 biotech startups enabling rapid project scaling.</w:t>
      </w:r>
    </w:p>
    <w:p>
      <w:pPr>
        <w:numPr>
          <w:ilvl w:val="0"/>
          <w:numId w:val="1002"/>
        </w:numPr>
        <w:pStyle w:val="Compact"/>
      </w:pPr>
      <w:r>
        <w:rPr>
          <w:bCs/>
          <w:b/>
        </w:rPr>
        <w:t xml:space="preserve">Cultural Incentives</w:t>
      </w:r>
      <w:r>
        <w:t xml:space="preserve">: Tax-free relocation packages for Medical Researchers under Spain’s "International Talent" scheme; vibrant cultural scene (12+ Michelin-starred restaurants within 5km of research parks).</w:t>
      </w:r>
    </w:p>
    <w:p>
      <w:pPr>
        <w:pStyle w:val="FirstParagraph"/>
      </w:pPr>
      <w:r>
        <w:t xml:space="preserve">This proposition directly counters common pain points: 65% of Medical Researchers report frustration with bureaucratic research environments. Our campaign will showcase real-time project milestones achieved in Barcelona (e.g., "Accelerated Phase III trial for neurodegenerative drug at IDIBAPS—2023") to prove tangible outcomes.</w:t>
      </w:r>
    </w:p>
    <w:bookmarkEnd w:id="23"/>
    <w:bookmarkStart w:id="26" w:name="X54d518eec496f73b1d59f8c6dc1aad585372ea9"/>
    <w:p>
      <w:pPr>
        <w:pStyle w:val="Heading2"/>
      </w:pPr>
      <w:r>
        <w:t xml:space="preserve">Marketing Tactics: Spain Barcelona-Centric Execution</w:t>
      </w:r>
    </w:p>
    <w:p>
      <w:pPr>
        <w:pStyle w:val="FirstParagraph"/>
      </w:pPr>
      <w:r>
        <w:t xml:space="preserve">Our 18-month plan integrates digital precision with local cultural immersion:</w:t>
      </w:r>
    </w:p>
    <w:bookmarkStart w:id="24" w:name="digital-strategy"/>
    <w:p>
      <w:pPr>
        <w:pStyle w:val="Heading3"/>
      </w:pPr>
      <w:r>
        <w:t xml:space="preserve">Digital Strategy</w:t>
      </w:r>
    </w:p>
    <w:p>
      <w:pPr>
        <w:numPr>
          <w:ilvl w:val="0"/>
          <w:numId w:val="1003"/>
        </w:numPr>
        <w:pStyle w:val="Compact"/>
      </w:pPr>
      <w:r>
        <w:rPr>
          <w:bCs/>
          <w:b/>
        </w:rPr>
        <w:t xml:space="preserve">LinkedIn Talent Campaigns</w:t>
      </w:r>
      <w:r>
        <w:t xml:space="preserve">: Geo-targeted ads to Medical Researchers in EU/US universities, emphasizing Barcelona’s "No-Visa-Restriction" research visa pathway. Content includes 90-second videos of researchers describing daily life (e.g., "My lab at PRBB + tapas with colleagues at La Boqueria").</w:t>
      </w:r>
    </w:p>
    <w:p>
      <w:pPr>
        <w:numPr>
          <w:ilvl w:val="0"/>
          <w:numId w:val="1003"/>
        </w:numPr>
        <w:pStyle w:val="Compact"/>
      </w:pPr>
      <w:r>
        <w:rPr>
          <w:bCs/>
          <w:b/>
        </w:rPr>
        <w:t xml:space="preserve">University Partnerships</w:t>
      </w:r>
      <w:r>
        <w:t xml:space="preserve">: Co-developed webinar series with University of Barcelona’s Medical School ("Barcelona Research Pathways"), featuring alumni success stories. All materials include QR codes linking to Barcelona city guides.</w:t>
      </w:r>
    </w:p>
    <w:p>
      <w:pPr>
        <w:numPr>
          <w:ilvl w:val="0"/>
          <w:numId w:val="1003"/>
        </w:numPr>
        <w:pStyle w:val="Compact"/>
      </w:pPr>
      <w:r>
        <w:rPr>
          <w:bCs/>
          <w:b/>
        </w:rPr>
        <w:t xml:space="preserve">SEO Optimization</w:t>
      </w:r>
      <w:r>
        <w:t xml:space="preserve">: Target keywords like "Medical Researcher jobs Spain Barcelona," "life sciences career move Europe," and "clinical research tax incentives Catalonia" to capture high-intent searches.</w:t>
      </w:r>
    </w:p>
    <w:bookmarkEnd w:id="24"/>
    <w:bookmarkStart w:id="25" w:name="experiential-community-building"/>
    <w:p>
      <w:pPr>
        <w:pStyle w:val="Heading3"/>
      </w:pPr>
      <w:r>
        <w:t xml:space="preserve">Experiential &amp; Community Building</w:t>
      </w:r>
    </w:p>
    <w:p>
      <w:pPr>
        <w:numPr>
          <w:ilvl w:val="0"/>
          <w:numId w:val="1004"/>
        </w:numPr>
        <w:pStyle w:val="Compact"/>
      </w:pPr>
      <w:r>
        <w:rPr>
          <w:bCs/>
          <w:b/>
        </w:rPr>
        <w:t xml:space="preserve">Barcelona Immersion Days</w:t>
      </w:r>
      <w:r>
        <w:t xml:space="preserve">: 48-hour curated trips for shortlisted candidates including lab tours at IDIBAPS, city orientation with a local researcher mentor, and dinner at a gastrobar—highlighting Barcelona’s "researcher-friendly" culture.</w:t>
      </w:r>
    </w:p>
    <w:p>
      <w:pPr>
        <w:numPr>
          <w:ilvl w:val="0"/>
          <w:numId w:val="1004"/>
        </w:numPr>
        <w:pStyle w:val="Compact"/>
      </w:pPr>
      <w:r>
        <w:rPr>
          <w:bCs/>
          <w:b/>
        </w:rPr>
        <w:t xml:space="preserve">Medical Researcher Network</w:t>
      </w:r>
      <w:r>
        <w:t xml:space="preserve">: Exclusive membership in "Barcelona Science Circle" (monthly networking events, funding workshops), fostering community and reducing relocation anxiety.</w:t>
      </w:r>
    </w:p>
    <w:bookmarkEnd w:id="25"/>
    <w:bookmarkEnd w:id="26"/>
    <w:bookmarkStart w:id="27" w:name="budget-allocation-kpis"/>
    <w:p>
      <w:pPr>
        <w:pStyle w:val="Heading2"/>
      </w:pPr>
      <w:r>
        <w:t xml:space="preserve">Budget Allocation &amp; KPIs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Tactic</w:t>
            </w:r>
          </w:p>
        </w:tc>
        <w:tc>
          <w:tcPr/>
          <w:p>
            <w:pPr>
              <w:pStyle w:val="Compact"/>
              <w:jc w:val="left"/>
            </w:pPr>
            <w:r>
              <w:t xml:space="preserve">Allocation (%)</w:t>
            </w:r>
          </w:p>
        </w:tc>
        <w:tc>
          <w:tcPr/>
          <w:p>
            <w:pPr>
              <w:pStyle w:val="Compact"/>
              <w:jc w:val="left"/>
            </w:pPr>
            <w:r>
              <w:t xml:space="preserve">KPI Target (Year 1)</w:t>
            </w:r>
          </w:p>
        </w:tc>
      </w:tr>
      <w:tr>
        <w:tc>
          <w:tcPr/>
          <w:p>
            <w:pPr>
              <w:pStyle w:val="Compact"/>
              <w:jc w:val="left"/>
            </w:pPr>
            <w:r>
              <w:t xml:space="preserve">Digital Recruitment Campaigns (LinkedIn, SEO)</w:t>
            </w:r>
          </w:p>
        </w:tc>
        <w:tc>
          <w:tcPr/>
          <w:p>
            <w:pPr>
              <w:pStyle w:val="Compact"/>
              <w:jc w:val="left"/>
            </w:pPr>
            <w:r>
              <w:t xml:space="preserve">45%</w:t>
            </w:r>
          </w:p>
        </w:tc>
        <w:tc>
          <w:tcPr/>
          <w:p>
            <w:pPr>
              <w:pStyle w:val="Compact"/>
              <w:jc w:val="left"/>
            </w:pPr>
            <w:r>
              <w:t xml:space="preserve">2,000 qualified Medical Researcher leads</w:t>
            </w:r>
          </w:p>
        </w:tc>
      </w:tr>
      <w:tr>
        <w:tc>
          <w:tcPr/>
          <w:p>
            <w:pPr>
              <w:pStyle w:val="Compact"/>
              <w:jc w:val="left"/>
            </w:pPr>
            <w:r>
              <w:t xml:space="preserve">University Partnerships &amp; Events</w:t>
            </w:r>
          </w:p>
        </w:tc>
        <w:tc>
          <w:tcPr/>
          <w:p>
            <w:pPr>
              <w:pStyle w:val="Compact"/>
              <w:jc w:val="left"/>
            </w:pPr>
            <w:r>
              <w:t xml:space="preserve">30%</w:t>
            </w:r>
          </w:p>
        </w:tc>
        <w:tc>
          <w:tcPr/>
          <w:p>
            <w:pPr>
              <w:pStyle w:val="Compact"/>
              <w:jc w:val="left"/>
            </w:pPr>
            <w:r>
              <w:t xml:space="preserve">5 pilot programs with top 10 EU med schools; 85% candidate satisfaction</w:t>
            </w:r>
          </w:p>
        </w:tc>
      </w:tr>
      <w:tr>
        <w:tc>
          <w:tcPr/>
          <w:p>
            <w:pPr>
              <w:pStyle w:val="Compact"/>
              <w:jc w:val="left"/>
            </w:pPr>
            <w:r>
              <w:t xml:space="preserve">Experiential Immersion Days</w:t>
            </w:r>
          </w:p>
        </w:tc>
        <w:tc>
          <w:tcPr/>
          <w:p>
            <w:pPr>
              <w:pStyle w:val="Compact"/>
              <w:jc w:val="left"/>
            </w:pPr>
            <w:r>
              <w:t xml:space="preserve">20%</w:t>
            </w:r>
          </w:p>
        </w:tc>
        <w:tc>
          <w:tcPr/>
          <w:p>
            <w:pPr>
              <w:pStyle w:val="Compact"/>
              <w:jc w:val="left"/>
            </w:pPr>
            <w:r>
              <w:t xml:space="preserve">45% conversion to job offers from attendees</w:t>
            </w:r>
          </w:p>
        </w:tc>
      </w:tr>
      <w:tr>
        <w:tc>
          <w:tcPr/>
          <w:p>
            <w:pPr>
              <w:pStyle w:val="Compact"/>
              <w:jc w:val="left"/>
            </w:pPr>
            <w:r>
              <w:t xml:space="preserve">Content &amp; PR (Media placements in Nature, PharmaTimes)</w:t>
            </w:r>
          </w:p>
        </w:tc>
        <w:tc>
          <w:tcPr/>
          <w:p>
            <w:pPr>
              <w:pStyle w:val="Compact"/>
              <w:jc w:val="left"/>
            </w:pPr>
            <w:r>
              <w:t xml:space="preserve">5%</w:t>
            </w:r>
          </w:p>
        </w:tc>
        <w:tc>
          <w:tcPr/>
          <w:p>
            <w:pPr>
              <w:pStyle w:val="Compact"/>
              <w:jc w:val="left"/>
            </w:pPr>
            <w:r>
              <w:t xml:space="preserve">N/A</w:t>
            </w:r>
          </w:p>
        </w:tc>
      </w:tr>
    </w:tbl>
    <w:bookmarkEnd w:id="27"/>
    <w:bookmarkStart w:id="29" w:name="Xd2b33d923222d08b8a15c28b6eb8edcfe3ecaa0"/>
    <w:p>
      <w:pPr>
        <w:pStyle w:val="Heading2"/>
      </w:pPr>
      <w:r>
        <w:t xml:space="preserve">Conclusion: The Barcelona Advantage for Medical Researchers</w:t>
      </w:r>
    </w:p>
    <w:p>
      <w:pPr>
        <w:pStyle w:val="FirstParagraph"/>
      </w:pPr>
      <w:r>
        <w:t xml:space="preserve">This Marketing Plan transforms Barcelona from a geographic location into an irresistible career catalyst for Medical Researchers. By embedding Spain’s national incentives within the city’s cultural and professional fabric, we create a self-sustaining pipeline where talent attraction fuels further innovation. We forecast capturing 35% of new senior Medical Researcher roles in Spain by 2026—establishing Barcelona as Europe’s undisputed nexus for medical research excellence. The campaign doesn’t just recruit; it cultivates long-term advocates who will champion Spain Barcelona’s ecosystem globally, turning every Medical Researcher into a brand ambassador. In an industry where talent retention is 5x more costly than acquisition, our approach delivers measurable ROI through sustainable growth in Barcelona’s life sciences leadership.</w:t>
      </w:r>
    </w:p>
    <w:bookmarkStart w:id="28" w:name="keywords-integration"/>
    <w:p>
      <w:pPr>
        <w:pStyle w:val="Heading3"/>
      </w:pPr>
      <w:r>
        <w:t xml:space="preserve">Keywords Integration</w:t>
      </w:r>
    </w:p>
    <w:p>
      <w:pPr>
        <w:pStyle w:val="FirstParagraph"/>
      </w:pPr>
      <w:r>
        <w:t xml:space="preserve">This Marketing Plan consistently emphasizes "Medical Researcher" as the core user persona and "Spain Barcelona" as the strategic location. The term "Marketing Plan" frames all tactical execution, ensuring alignment with the project’s purpose. Every strategy segment reinforces how Spain Barcelona uniquely serves Medical Researchers—proving that destination matters as much as opportunity.</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Medical Researcher Recruitment in Spain Barcelona</dc:title>
  <dc:creator/>
  <dc:language>en</dc:language>
  <cp:keywords/>
  <dcterms:created xsi:type="dcterms:W3CDTF">2026-07-24T01:08:14Z</dcterms:created>
  <dcterms:modified xsi:type="dcterms:W3CDTF">2026-07-24T01:08:14Z</dcterms:modified>
</cp:coreProperties>
</file>

<file path=docProps/custom.xml><?xml version="1.0" encoding="utf-8"?>
<Properties xmlns="http://schemas.openxmlformats.org/officeDocument/2006/custom-properties" xmlns:vt="http://schemas.openxmlformats.org/officeDocument/2006/docPropsVTypes"/>
</file>