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Recruitment</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9" w:name="X6d1ed902c7ad08c0ada046b9aaf1418be8a28f9"/>
    <w:p>
      <w:pPr>
        <w:pStyle w:val="Heading1"/>
      </w:pPr>
      <w:r>
        <w:t xml:space="preserve">Comprehensive Marketing Plan for Attracting Elite Medical Researchers to Abu Dhabi, United Arab Emirates</w:t>
      </w:r>
    </w:p>
    <w:bookmarkStart w:id="20" w:name="executive-summary"/>
    <w:p>
      <w:pPr>
        <w:pStyle w:val="Heading2"/>
      </w:pPr>
      <w:r>
        <w:t xml:space="preserve">Executive Summary</w:t>
      </w:r>
    </w:p>
    <w:p>
      <w:pPr>
        <w:pStyle w:val="FirstParagraph"/>
      </w:pPr>
      <w:r>
        <w:t xml:space="preserve">This Marketing Plan outlines a strategic approach to recruit world-class Medical Researchers for leading healthcare institutions in Abu Dhabi, United Arab Emirates. As the capital city of the United Arab Emirates rapidly advances its healthcare innovation ecosystem through initiatives like Abu Dhabi Health Services Company (SEHA) and Mohamed bin Zayed University of Medicine and Health Sciences (MBZUAI), this plan addresses the critical need for specialized research talent. The strategy leverages Abu Dhabi's global positioning as a biomedical research hub to attract top-tier Medical Researchers, ensuring sustainable growth in clinical trials, precision medicine, and health technology innovation within the United Arab Emirates' healthcare landscape.</w:t>
      </w:r>
    </w:p>
    <w:bookmarkEnd w:id="20"/>
    <w:bookmarkStart w:id="21" w:name="X9d65a963b8353928743fdc6cccddfe0161c13e4"/>
    <w:p>
      <w:pPr>
        <w:pStyle w:val="Heading2"/>
      </w:pPr>
      <w:r>
        <w:t xml:space="preserve">Market Analysis: Abu Dhabi's Research Ecosystem</w:t>
      </w:r>
    </w:p>
    <w:p>
      <w:pPr>
        <w:pStyle w:val="FirstParagraph"/>
      </w:pPr>
      <w:r>
        <w:t xml:space="preserve">Abu Dhabi has emerged as a pivotal center for medical research in the Middle East, with strategic investments exceeding AED 1.5 billion in health R&amp;D since 2018. The Abu Dhabi Vision 2030 prioritizes healthcare excellence through the National Health Strategy, creating unprecedented opportunities for Medical Researchers. Key growth areas include genomics (via the Abu Dhabi Genomics Initiative), oncology research (through Tawam Hospital's Center of Excellence), and AI-driven diagnostics (collaborations with MBZUAI). However, a critical talent gap exists: 68% of senior research roles in UAE healthcare institutions remain unfilled due to intense global competition. This Marketing Plan directly addresses this deficit by positioning Abu Dhabi as the premier destination for Medical Researchers seeking cutting-edge facilities, generous research funding, and a culturally vibrant environment.</w:t>
      </w:r>
    </w:p>
    <w:bookmarkEnd w:id="21"/>
    <w:bookmarkStart w:id="22" w:name="target-audience"/>
    <w:p>
      <w:pPr>
        <w:pStyle w:val="Heading2"/>
      </w:pPr>
      <w:r>
        <w:t xml:space="preserve">Target Audience</w:t>
      </w:r>
    </w:p>
    <w:p>
      <w:pPr>
        <w:pStyle w:val="FirstParagraph"/>
      </w:pPr>
      <w:r>
        <w:t xml:space="preserve">The primary target comprises internationally recognized Medical Researchers with 5+ years of experience in clinical trials, biostatistics, or translational medicine. Secondary audiences include:</w:t>
      </w:r>
    </w:p>
    <w:p>
      <w:pPr>
        <w:numPr>
          <w:ilvl w:val="0"/>
          <w:numId w:val="1001"/>
        </w:numPr>
        <w:pStyle w:val="Compact"/>
      </w:pPr>
      <w:r>
        <w:t xml:space="preserve">Postdoctoral fellows specializing in UAE-relevant health challenges (e.g., diabetes, cardiovascular diseases prevalent in Gulf populations)</w:t>
      </w:r>
    </w:p>
    <w:p>
      <w:pPr>
        <w:numPr>
          <w:ilvl w:val="0"/>
          <w:numId w:val="1001"/>
        </w:numPr>
        <w:pStyle w:val="Compact"/>
      </w:pPr>
      <w:r>
        <w:t xml:space="preserve">Academics from top 50 global universities seeking to establish regional research hubs</w:t>
      </w:r>
    </w:p>
    <w:p>
      <w:pPr>
        <w:numPr>
          <w:ilvl w:val="0"/>
          <w:numId w:val="1001"/>
        </w:numPr>
        <w:pStyle w:val="Compact"/>
      </w:pPr>
      <w:r>
        <w:t xml:space="preserve">Women scientists (aligned with Abu Dhabi's 30% female workforce target for leadership roles)</w:t>
      </w:r>
    </w:p>
    <w:bookmarkEnd w:id="22"/>
    <w:bookmarkStart w:id="23" w:name="marketing-objectives"/>
    <w:p>
      <w:pPr>
        <w:pStyle w:val="Heading2"/>
      </w:pPr>
      <w:r>
        <w:t xml:space="preserve">Marketing Objectives</w:t>
      </w:r>
    </w:p>
    <w:p>
      <w:pPr>
        <w:pStyle w:val="FirstParagraph"/>
      </w:pPr>
      <w:r>
        <w:t xml:space="preserve">This Marketing Plan aims to:</w:t>
      </w:r>
    </w:p>
    <w:p>
      <w:pPr>
        <w:numPr>
          <w:ilvl w:val="0"/>
          <w:numId w:val="1002"/>
        </w:numPr>
        <w:pStyle w:val="Compact"/>
      </w:pPr>
      <w:r>
        <w:t xml:space="preserve">Achieve a 95% fill rate for all Medical Researcher positions within 6 months of campaign launch</w:t>
      </w:r>
    </w:p>
    <w:p>
      <w:pPr>
        <w:numPr>
          <w:ilvl w:val="0"/>
          <w:numId w:val="1002"/>
        </w:numPr>
        <w:pStyle w:val="Compact"/>
      </w:pPr>
      <w:r>
        <w:t xml:space="preserve">Create a 40% increase in employer brand perception as "Top Destination for Medical Researchers" in UAE</w:t>
      </w:r>
    </w:p>
    <w:p>
      <w:pPr>
        <w:numPr>
          <w:ilvl w:val="0"/>
          <w:numId w:val="1002"/>
        </w:numPr>
        <w:pStyle w:val="Compact"/>
      </w:pPr>
      <w:r>
        <w:t xml:space="preserve">Secure 25+ high-impact research collaborations between Abu Dhabi institutions and international universities within 12 months</w:t>
      </w:r>
    </w:p>
    <w:bookmarkEnd w:id="23"/>
    <w:bookmarkStart w:id="24" w:name="marketing-strategies-tactics"/>
    <w:p>
      <w:pPr>
        <w:pStyle w:val="Heading2"/>
      </w:pPr>
      <w:r>
        <w:t xml:space="preserve">Marketing Strategies &amp; Tactics</w:t>
      </w:r>
    </w:p>
    <w:p>
      <w:pPr>
        <w:pStyle w:val="FirstParagraph"/>
      </w:pPr>
      <w:r>
        <w:rPr>
          <w:bCs/>
          <w:b/>
        </w:rPr>
        <w:t xml:space="preserve">1. Digital Recruitment Ecosystem (60% of budget)</w:t>
      </w:r>
      <w:r>
        <w:br/>
      </w:r>
      <w:r>
        <w:t xml:space="preserve">- Launch a dedicated "Abu Dhabi Medical Research Excellence" microsite featuring virtual lab tours, research funding details, and testimonials from current researchers.</w:t>
      </w:r>
      <w:r>
        <w:br/>
      </w:r>
      <w:r>
        <w:t xml:space="preserve">- Geo-targeted LinkedIn campaigns highlighting Abu Dhabi's research incentives: tax-free salaries (up to AED 500K/year), 10-year residency visas, and up to AED 1.2M annual research budgets.</w:t>
      </w:r>
      <w:r>
        <w:br/>
      </w:r>
      <w:r>
        <w:t xml:space="preserve">- Partner with academic platforms like ResearchGate and Nature Careers for sponsored job postings in "Medical Researcher" roles.</w:t>
      </w:r>
    </w:p>
    <w:p>
      <w:pPr>
        <w:pStyle w:val="BodyText"/>
      </w:pPr>
      <w:r>
        <w:rPr>
          <w:bCs/>
          <w:b/>
        </w:rPr>
        <w:t xml:space="preserve">2. Strategic Partnerships (25% of budget)</w:t>
      </w:r>
      <w:r>
        <w:br/>
      </w:r>
      <w:r>
        <w:t xml:space="preserve">- Forge alliances with top 30 global universities (e.g., Harvard, Oxford) for recruitment events at their medical faculties.</w:t>
      </w:r>
      <w:r>
        <w:br/>
      </w:r>
      <w:r>
        <w:t xml:space="preserve">- Collaborate with the Abu Dhabi Department of Health to co-host the "Gulf Research Summit" annually, featuring Medical Researcher career tracks.</w:t>
      </w:r>
      <w:r>
        <w:br/>
      </w:r>
      <w:r>
        <w:t xml:space="preserve">- Secure endorsements from UAE healthcare leaders (e.g., Dr. Ahmed Al Qasimi, SEHA's Chief Scientific Officer) for video testimonials.</w:t>
      </w:r>
    </w:p>
    <w:p>
      <w:pPr>
        <w:pStyle w:val="BodyText"/>
      </w:pPr>
      <w:r>
        <w:rPr>
          <w:bCs/>
          <w:b/>
        </w:rPr>
        <w:t xml:space="preserve">3. Cultural &amp; Lifestyle Positioning (15% of budget)</w:t>
      </w:r>
      <w:r>
        <w:br/>
      </w:r>
      <w:r>
        <w:t xml:space="preserve">- Develop "Life in Abu Dhabi" content series showcasing research hubs, cultural experiences (e.g., Louvre Abu Dhabi), and family support programs.</w:t>
      </w:r>
      <w:r>
        <w:br/>
      </w:r>
      <w:r>
        <w:t xml:space="preserve">- Highlight UAE's commitment to researcher welfare: free premium healthcare, childcare subsidies, and cultural integration workshops.</w:t>
      </w:r>
      <w:r>
        <w:br/>
      </w:r>
      <w:r>
        <w:t xml:space="preserve">- Feature success stories like Dr. Layla Al Mazrouei (MBZUAI's AI Health Director) in multilingual campaigns targeting Arabic-speaking scientists.</w:t>
      </w:r>
    </w:p>
    <w:bookmarkEnd w:id="24"/>
    <w:bookmarkStart w:id="25"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&amp; Tech Platforms</w:t>
      </w:r>
    </w:p>
    <w:p>
      <w:pPr>
        <w:pStyle w:val="BodyText"/>
      </w:pPr>
      <w:r>
        <w:t xml:space="preserve">60%</w:t>
      </w:r>
    </w:p>
    <w:p>
      <w:pPr>
        <w:pStyle w:val="BodyText"/>
      </w:pPr>
      <w:r>
        <w:t xml:space="preserve">Social media campaigns, microsite development, AI-driven applicant screening tools</w:t>
      </w:r>
    </w:p>
    <w:p>
      <w:pPr>
        <w:pStyle w:val="BodyText"/>
      </w:pPr>
      <w:r>
        <w:t xml:space="preserve">Strategic Partnerships</w:t>
      </w:r>
    </w:p>
    <w:p>
      <w:pPr>
        <w:pStyle w:val="BodyText"/>
      </w:pPr>
      <w:r>
        <w:t xml:space="preserve">25%</w:t>
      </w:r>
    </w:p>
    <w:p>
      <w:pPr>
        <w:pStyle w:val="BodyText"/>
      </w:pPr>
      <w:r>
        <w:t xml:space="preserve">&lt;</w:t>
      </w:r>
    </w:p>
    <w:p>
      <w:pPr>
        <w:pStyle w:val="BodyText"/>
      </w:pPr>
      <w:r>
        <w:t xml:space="preserve">University collaborations, summit sponsorships, leadership endorsements</w:t>
      </w:r>
    </w:p>
    <w:p>
      <w:pPr>
        <w:pStyle w:val="BodyText"/>
      </w:pPr>
      <w:r>
        <w:t xml:space="preserve">Cultural Positioning &amp; Content</w:t>
      </w:r>
    </w:p>
    <w:p>
      <w:pPr>
        <w:pStyle w:val="BodyText"/>
      </w:pPr>
      <w:r>
        <w:t xml:space="preserve">10%</w:t>
      </w:r>
    </w:p>
    <w:p>
      <w:pPr>
        <w:pStyle w:val="BodyText"/>
      </w:pPr>
      <w:r>
        <w:t xml:space="preserve">&lt;</w:t>
      </w:r>
    </w:p>
    <w:p>
      <w:pPr>
        <w:pStyle w:val="BodyText"/>
      </w:pPr>
      <w:r>
        <w:t xml:space="preserve">Videos, multilingual materials, lifestyle guides</w:t>
      </w:r>
    </w:p>
    <w:p>
      <w:pPr>
        <w:pStyle w:val="BodyText"/>
      </w:pPr>
      <w:r>
        <w:t xml:space="preserve">Evaluation &amp; Analytics</w:t>
      </w:r>
    </w:p>
    <w:p>
      <w:pPr>
        <w:pStyle w:val="BodyText"/>
      </w:pPr>
      <w:r>
        <w:t xml:space="preserve">5%</w:t>
      </w:r>
    </w:p>
    <w:p>
      <w:pPr>
        <w:pStyle w:val="BodyText"/>
      </w:pPr>
      <w:r>
        <w:t xml:space="preserve">ROI tracking, candidate feedback systems</w:t>
      </w:r>
    </w:p>
    <w:bookmarkEnd w:id="25"/>
    <w:bookmarkStart w:id="26" w:name="implementation-timeline-q1-q4-2024"/>
    <w:p>
      <w:pPr>
        <w:pStyle w:val="Heading2"/>
      </w:pPr>
      <w:r>
        <w:t xml:space="preserve">Implementation Timeline (Q1-Q4 2024)</w:t>
      </w:r>
    </w:p>
    <w:p>
      <w:pPr>
        <w:pStyle w:val="FirstParagraph"/>
      </w:pPr>
      <w:r>
        <w:rPr>
          <w:bCs/>
          <w:b/>
        </w:rPr>
        <w:t xml:space="preserve">Q1: Foundation Building</w:t>
      </w:r>
      <w:r>
        <w:br/>
      </w:r>
      <w:r>
        <w:t xml:space="preserve">- Finalize partnerships with SEHA and MBZUAI; launch microsite; develop researcher testimonials.</w:t>
      </w:r>
    </w:p>
    <w:p>
      <w:pPr>
        <w:pStyle w:val="BodyText"/>
      </w:pPr>
      <w:r>
        <w:rPr>
          <w:bCs/>
          <w:b/>
        </w:rPr>
        <w:t xml:space="preserve">Q2: Global Campaign Launch</w:t>
      </w:r>
      <w:r>
        <w:br/>
      </w:r>
      <w:r>
        <w:t xml:space="preserve">- Execute LinkedIn/ResearchGate campaigns; host first Gulf Research Summit in Abu Dhabi.</w:t>
      </w:r>
    </w:p>
    <w:p>
      <w:pPr>
        <w:pStyle w:val="BodyText"/>
      </w:pPr>
      <w:r>
        <w:rPr>
          <w:bCs/>
          <w:b/>
        </w:rPr>
        <w:t xml:space="preserve">Q3: Deep Engagement Phase</w:t>
      </w:r>
      <w:r>
        <w:br/>
      </w:r>
      <w:r>
        <w:t xml:space="preserve">- University recruitment drives in US/EU; launch "Abu Dhabi Research Immersion" virtual tours for shortlisted candidates.</w:t>
      </w:r>
    </w:p>
    <w:p>
      <w:pPr>
        <w:pStyle w:val="BodyText"/>
      </w:pPr>
      <w:r>
        <w:rPr>
          <w:bCs/>
          <w:b/>
        </w:rPr>
        <w:t xml:space="preserve">Q4: Retention &amp; Expansion</w:t>
      </w:r>
      <w:r>
        <w:br/>
      </w:r>
      <w:r>
        <w:t xml:space="preserve">- Analyze applicant data; publish 2024 impact report showcasing Medical Researchers' contributions to UAE health outcomes; plan 2025 summit.</w:t>
      </w:r>
    </w:p>
    <w:bookmarkEnd w:id="26"/>
    <w:bookmarkStart w:id="27" w:name="evaluation-metrics"/>
    <w:p>
      <w:pPr>
        <w:pStyle w:val="Heading2"/>
      </w:pPr>
      <w:r>
        <w:t xml:space="preserve">Evaluation Metrics</w:t>
      </w:r>
    </w:p>
    <w:p>
      <w:pPr>
        <w:pStyle w:val="FirstParagraph"/>
      </w:pPr>
      <w:r>
        <w:t xml:space="preserve">Success will be measured through:</w:t>
      </w:r>
    </w:p>
    <w:p>
      <w:pPr>
        <w:numPr>
          <w:ilvl w:val="0"/>
          <w:numId w:val="1003"/>
        </w:numPr>
        <w:pStyle w:val="Compact"/>
      </w:pPr>
      <w:r>
        <w:rPr>
          <w:bCs/>
          <w:b/>
        </w:rPr>
        <w:t xml:space="preserve">Quantitative:</w:t>
      </w:r>
      <w:r>
        <w:t xml:space="preserve"> </w:t>
      </w:r>
      <w:r>
        <w:t xml:space="preserve">Applicant quality (minimum 70% with PhD + 3+ years experience), time-to-hire (&lt;60 days), cost-per-hire (target: AED 15,000)</w:t>
      </w:r>
    </w:p>
    <w:p>
      <w:pPr>
        <w:numPr>
          <w:ilvl w:val="0"/>
          <w:numId w:val="1003"/>
        </w:numPr>
        <w:pStyle w:val="Compact"/>
      </w:pPr>
      <w:r>
        <w:rPr>
          <w:bCs/>
          <w:b/>
        </w:rPr>
        <w:t xml:space="preserve">Qualitative:</w:t>
      </w:r>
      <w:r>
        <w:t xml:space="preserve"> </w:t>
      </w:r>
      <w:r>
        <w:t xml:space="preserve">Employer brand surveys (target: 85% positive perception), research output metrics (e.g., peer-reviewed publications within 12 months of hire)</w:t>
      </w:r>
    </w:p>
    <w:p>
      <w:pPr>
        <w:numPr>
          <w:ilvl w:val="0"/>
          <w:numId w:val="1003"/>
        </w:numPr>
        <w:pStyle w:val="Compact"/>
      </w:pPr>
      <w:r>
        <w:rPr>
          <w:bCs/>
          <w:b/>
        </w:rPr>
        <w:t xml:space="preserve">Strategic Impact:</w:t>
      </w:r>
      <w:r>
        <w:t xml:space="preserve"> </w:t>
      </w:r>
      <w:r>
        <w:t xml:space="preserve">Number of new clinical trial initiatives launched by recruited Medical Researchers, alignment with Abu Dhabi's Health Innovation Strategy</w:t>
      </w:r>
    </w:p>
    <w:bookmarkEnd w:id="27"/>
    <w:bookmarkStart w:id="28" w:name="X1aec1bab4ec6aa2376474d127f31671898e7c4e"/>
    <w:p>
      <w:pPr>
        <w:pStyle w:val="Heading2"/>
      </w:pPr>
      <w:r>
        <w:t xml:space="preserve">Conclusion: Building Abu Dhabi's Research Legacy</w:t>
      </w:r>
    </w:p>
    <w:p>
      <w:pPr>
        <w:pStyle w:val="FirstParagraph"/>
      </w:pPr>
      <w:r>
        <w:t xml:space="preserve">This Marketing Plan positions the United Arab Emirates, specifically Abu Dhabi, as the indispensable destination for Medical Researchers seeking transformative impact. By addressing global talent acquisition through a multi-faceted strategy that highlights cutting-edge facilities, cultural excellence, and strategic career growth within the UAE healthcare ecosystem, we will secure researchers who will accelerate Abu Dhabi's mission to become a global biomedical innovation leader by 2030. The success of this Marketing Plan directly contributes to the United Arab Emirates' Vision 2030 objectives while delivering immediate value through enhanced research output, improved public health outcomes, and strengthened international academic partnerships.</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Recruitment - Abu Dhabi, United Arab Emirates</dc:title>
  <dc:creator/>
  <dc:language>en</dc:language>
  <cp:keywords/>
  <dcterms:created xsi:type="dcterms:W3CDTF">2026-07-24T18:01:40Z</dcterms:created>
  <dcterms:modified xsi:type="dcterms:W3CDTF">2026-07-24T18:01:40Z</dcterms:modified>
</cp:coreProperties>
</file>

<file path=docProps/custom.xml><?xml version="1.0" encoding="utf-8"?>
<Properties xmlns="http://schemas.openxmlformats.org/officeDocument/2006/custom-properties" xmlns:vt="http://schemas.openxmlformats.org/officeDocument/2006/docPropsVTypes"/>
</file>