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Medical</w:t>
      </w:r>
      <w:r>
        <w:t xml:space="preserve"> </w:t>
      </w:r>
      <w:r>
        <w:t xml:space="preserve">Researchers</w:t>
      </w:r>
      <w:r>
        <w:t xml:space="preserve"> </w:t>
      </w:r>
      <w:r>
        <w:t xml:space="preserve">to</w:t>
      </w:r>
      <w:r>
        <w:t xml:space="preserve"> </w:t>
      </w:r>
      <w:r>
        <w:t xml:space="preserve">Birmingham,</w:t>
      </w:r>
      <w:r>
        <w:t xml:space="preserve"> </w:t>
      </w:r>
      <w:r>
        <w:t xml:space="preserve">United</w:t>
      </w:r>
      <w:r>
        <w:t xml:space="preserve"> </w:t>
      </w:r>
      <w:r>
        <w:t xml:space="preserve">Kingdom</w:t>
      </w:r>
    </w:p>
    <w:bookmarkStart w:id="30" w:name="X7b64d0a2ce9f738d849b91deeddfda1bca9cc09"/>
    <w:p>
      <w:pPr>
        <w:pStyle w:val="Heading1"/>
      </w:pPr>
      <w:r>
        <w:t xml:space="preserve">Strategic Marketing Plan for Recruiting Elite Medical Researchers in Birmingham, United Kingdom</w:t>
      </w:r>
    </w:p>
    <w:p>
      <w:pPr>
        <w:pStyle w:val="FirstParagraph"/>
      </w:pPr>
      <w:r>
        <w:t xml:space="preserve">This comprehensive marketing plan outlines a targeted strategy to position Birmingham as the premier destination for world-class Medical Researchers within the United Kingdom. Designed specifically for institutions operating in Birmingham, this plan integrates localized insights with global recruitment best practices to attract and retain talent critical to advancing medical innovation across the UK healthcare landscape.</w:t>
      </w:r>
    </w:p>
    <w:bookmarkStart w:id="20" w:name="executive-summary"/>
    <w:p>
      <w:pPr>
        <w:pStyle w:val="Heading2"/>
      </w:pPr>
      <w:r>
        <w:t xml:space="preserve">Executive Summary</w:t>
      </w:r>
    </w:p>
    <w:p>
      <w:pPr>
        <w:pStyle w:val="FirstParagraph"/>
      </w:pPr>
      <w:r>
        <w:t xml:space="preserve">Birmingham, as the United Kingdom's second-largest city and a hub for medical research excellence, faces intense competition for top-tier Medical Researchers from London, Cambridge, and international markets. This Marketing Plan addresses this challenge by developing a distinctive employer branding strategy that leverages Birmingham's unique advantages—affordable living costs, world-class academic partnerships (University of Birmingham, Aston University), NHS infrastructure (largest NHS trust in Europe), and strategic location within the UK. The plan targets high-caliber Medical Researchers seeking impactful careers with work-life balance, positioning Birmingham not as a secondary option but as the optimal choice for pioneering medical research.</w:t>
      </w:r>
    </w:p>
    <w:bookmarkEnd w:id="20"/>
    <w:bookmarkStart w:id="21" w:name="X375c60bf2e3738a887d34a6fb7a817c76890451"/>
    <w:p>
      <w:pPr>
        <w:pStyle w:val="Heading2"/>
      </w:pPr>
      <w:r>
        <w:t xml:space="preserve">Target Audience: Defining the Ideal Medical Researcher</w:t>
      </w:r>
    </w:p>
    <w:p>
      <w:pPr>
        <w:pStyle w:val="FirstParagraph"/>
      </w:pPr>
      <w:r>
        <w:t xml:space="preserve">The core audience comprises PhD-qualified Medical Researchers (typically 3-10 years post-doctorate) with expertise in oncology, neuroscience, genomics, or public health. Key characteristics include:</w:t>
      </w:r>
    </w:p>
    <w:p>
      <w:pPr>
        <w:numPr>
          <w:ilvl w:val="0"/>
          <w:numId w:val="1001"/>
        </w:numPr>
        <w:pStyle w:val="Compact"/>
      </w:pPr>
      <w:r>
        <w:rPr>
          <w:bCs/>
          <w:b/>
        </w:rPr>
        <w:t xml:space="preserve">Professional Drivers:</w:t>
      </w:r>
      <w:r>
        <w:t xml:space="preserve"> </w:t>
      </w:r>
      <w:r>
        <w:t xml:space="preserve">Desire for collaborative research environments, access to large-scale clinical datasets (via Birmingham’s NHS partnerships), and clear pathways to grant funding.</w:t>
      </w:r>
    </w:p>
    <w:p>
      <w:pPr>
        <w:numPr>
          <w:ilvl w:val="0"/>
          <w:numId w:val="1001"/>
        </w:numPr>
        <w:pStyle w:val="Compact"/>
      </w:pPr>
      <w:r>
        <w:rPr>
          <w:bCs/>
          <w:b/>
        </w:rPr>
        <w:t xml:space="preserve">Location Sensitivity:</w:t>
      </w:r>
      <w:r>
        <w:t xml:space="preserve"> </w:t>
      </w:r>
      <w:r>
        <w:t xml:space="preserve">Preference for cities offering competitive salaries relative to cost of living (Birmingham offers 35% lower housing costs than London while maintaining strong pay scales).</w:t>
      </w:r>
    </w:p>
    <w:bookmarkEnd w:id="21"/>
    <w:bookmarkStart w:id="22" w:name="X4e659964e381f15c814852415538b6da79e8202"/>
    <w:p>
      <w:pPr>
        <w:pStyle w:val="Heading2"/>
      </w:pPr>
      <w:r>
        <w:t xml:space="preserve">Core Value Proposition: Why Birmingham for Medical Researchers?</w:t>
      </w:r>
    </w:p>
    <w:p>
      <w:pPr>
        <w:pStyle w:val="FirstParagraph"/>
      </w:pPr>
      <w:r>
        <w:t xml:space="preserve">This plan centers on three pillars that differentiate Birmingham from competitors:</w:t>
      </w:r>
    </w:p>
    <w:p>
      <w:pPr>
        <w:numPr>
          <w:ilvl w:val="0"/>
          <w:numId w:val="1002"/>
        </w:numPr>
        <w:pStyle w:val="Compact"/>
      </w:pPr>
      <w:r>
        <w:rPr>
          <w:bCs/>
          <w:b/>
        </w:rPr>
        <w:t xml:space="preserve">Clinical-Research Integration:</w:t>
      </w:r>
      <w:r>
        <w:t xml:space="preserve"> </w:t>
      </w:r>
      <w:r>
        <w:t xml:space="preserve">Highlight opportunities to collaborate directly with Birmingham’s £1.3bn National Health Service infrastructure, accelerating translational research from lab to patient care.</w:t>
      </w:r>
    </w:p>
    <w:p>
      <w:pPr>
        <w:numPr>
          <w:ilvl w:val="0"/>
          <w:numId w:val="1002"/>
        </w:numPr>
        <w:pStyle w:val="Compact"/>
      </w:pPr>
      <w:r>
        <w:rPr>
          <w:bCs/>
          <w:b/>
        </w:rPr>
        <w:t xml:space="preserve">Cost of Living Advantage:</w:t>
      </w:r>
      <w:r>
        <w:t xml:space="preserve"> </w:t>
      </w:r>
      <w:r>
        <w:t xml:space="preserve">Emphasize that a salary of £50k–£75k in Birmingham provides 22% more disposable income than equivalent roles in London (based on 2023 UK Office for National Statistics data).</w:t>
      </w:r>
    </w:p>
    <w:p>
      <w:pPr>
        <w:numPr>
          <w:ilvl w:val="0"/>
          <w:numId w:val="1002"/>
        </w:numPr>
        <w:pStyle w:val="Compact"/>
      </w:pPr>
      <w:r>
        <w:rPr>
          <w:bCs/>
          <w:b/>
        </w:rPr>
        <w:t xml:space="preserve">Community &amp; Innovation Ecosystem:</w:t>
      </w:r>
      <w:r>
        <w:t xml:space="preserve"> </w:t>
      </w:r>
      <w:r>
        <w:t xml:space="preserve">Showcase Birmingham’s status as the UK’s leading "City of Culture" with £1.5bn invested in life sciences infrastructure since 2019, including the new £45m Centre for Personalised Medicine at University of Birmingham.</w:t>
      </w:r>
    </w:p>
    <w:bookmarkEnd w:id="22"/>
    <w:bookmarkStart w:id="26" w:name="multi-channel-marketing-strategy"/>
    <w:p>
      <w:pPr>
        <w:pStyle w:val="Heading2"/>
      </w:pPr>
      <w:r>
        <w:t xml:space="preserve">Multi-Channel Marketing Strategy</w:t>
      </w:r>
    </w:p>
    <w:p>
      <w:pPr>
        <w:pStyle w:val="FirstParagraph"/>
      </w:pPr>
      <w:r>
        <w:t xml:space="preserve">This strategy utilizes data-driven channels tailored to Medical Researchers' habits:</w:t>
      </w:r>
    </w:p>
    <w:bookmarkStart w:id="23" w:name="X87540128b3cd0b54adf0760af6a2dc282f4de40"/>
    <w:p>
      <w:pPr>
        <w:pStyle w:val="Heading3"/>
      </w:pPr>
      <w:r>
        <w:t xml:space="preserve">1. Digital &amp; Content Marketing (Localised Focus)</w:t>
      </w:r>
    </w:p>
    <w:p>
      <w:pPr>
        <w:numPr>
          <w:ilvl w:val="0"/>
          <w:numId w:val="1003"/>
        </w:numPr>
        <w:pStyle w:val="Compact"/>
      </w:pPr>
      <w:r>
        <w:rPr>
          <w:bCs/>
          <w:b/>
        </w:rPr>
        <w:t xml:space="preserve">Birmingham-Specific Social Media Campaigns:</w:t>
      </w:r>
      <w:r>
        <w:t xml:space="preserve"> </w:t>
      </w:r>
      <w:r>
        <w:t xml:space="preserve">LinkedIn and Twitter ads targeting keywords like "medical researcher UK" with geo-filters for Birmingham. Content includes video testimonials from current researchers in Birmingham (e.g., "How I Led a Cancer Genomics Project Using NHS Data in Birmingham").</w:t>
      </w:r>
    </w:p>
    <w:p>
      <w:pPr>
        <w:numPr>
          <w:ilvl w:val="0"/>
          <w:numId w:val="1003"/>
        </w:numPr>
        <w:pStyle w:val="Compact"/>
      </w:pPr>
      <w:r>
        <w:rPr>
          <w:bCs/>
          <w:b/>
        </w:rPr>
        <w:t xml:space="preserve">Dedicated Web Hub:</w:t>
      </w:r>
      <w:r>
        <w:t xml:space="preserve"> </w:t>
      </w:r>
      <w:r>
        <w:t xml:space="preserve">A microsite (</w:t>
      </w:r>
      <w:r>
        <w:rPr>
          <w:iCs/>
          <w:i/>
        </w:rPr>
        <w:t xml:space="preserve">www.birminghamresearchcareers.uk</w:t>
      </w:r>
      <w:r>
        <w:t xml:space="preserve">) featuring interactive city guides, cost-of-living calculators for researchers, and virtual tours of Birmingham research facilities (e.g., Aston University’s Precision Medicine Centre).</w:t>
      </w:r>
    </w:p>
    <w:bookmarkEnd w:id="23"/>
    <w:bookmarkStart w:id="24" w:name="academic-institutional-partnerships"/>
    <w:p>
      <w:pPr>
        <w:pStyle w:val="Heading3"/>
      </w:pPr>
      <w:r>
        <w:t xml:space="preserve">2. Academic &amp; Institutional Partnerships</w:t>
      </w:r>
    </w:p>
    <w:p>
      <w:pPr>
        <w:numPr>
          <w:ilvl w:val="0"/>
          <w:numId w:val="1004"/>
        </w:numPr>
        <w:pStyle w:val="Compact"/>
      </w:pPr>
      <w:r>
        <w:rPr>
          <w:bCs/>
          <w:b/>
        </w:rPr>
        <w:t xml:space="preserve">University Collaborations:</w:t>
      </w:r>
      <w:r>
        <w:t xml:space="preserve"> </w:t>
      </w:r>
      <w:r>
        <w:t xml:space="preserve">Joint recruitment drives with University of Birmingham and Aston University, featuring exclusive "Birmingham Research Fellowships" with dedicated funding for early-career Medical Researchers.</w:t>
      </w:r>
    </w:p>
    <w:p>
      <w:pPr>
        <w:numPr>
          <w:ilvl w:val="0"/>
          <w:numId w:val="1004"/>
        </w:numPr>
        <w:pStyle w:val="Compact"/>
      </w:pPr>
      <w:r>
        <w:rPr>
          <w:bCs/>
          <w:b/>
        </w:rPr>
        <w:t xml:space="preserve">NHS Engagement:</w:t>
      </w:r>
      <w:r>
        <w:t xml:space="preserve"> </w:t>
      </w:r>
      <w:r>
        <w:t xml:space="preserve">Co-branded workshops at Birmingham’s Queen Elizabeth Hospital on "Translational Research Opportunities in the NHS," hosted by senior clinicians and researchers.</w:t>
      </w:r>
    </w:p>
    <w:bookmarkEnd w:id="24"/>
    <w:bookmarkStart w:id="25" w:name="industry-conference-presence"/>
    <w:p>
      <w:pPr>
        <w:pStyle w:val="Heading3"/>
      </w:pPr>
      <w:r>
        <w:t xml:space="preserve">3. Industry &amp; Conference Presence</w:t>
      </w:r>
    </w:p>
    <w:p>
      <w:pPr>
        <w:numPr>
          <w:ilvl w:val="0"/>
          <w:numId w:val="1005"/>
        </w:numPr>
        <w:pStyle w:val="Compact"/>
      </w:pPr>
      <w:r>
        <w:rPr>
          <w:bCs/>
          <w:b/>
        </w:rPr>
        <w:t xml:space="preserve">Targeted Conferences:</w:t>
      </w:r>
      <w:r>
        <w:t xml:space="preserve"> </w:t>
      </w:r>
      <w:r>
        <w:t xml:space="preserve">Sponsorship of key UK medical research events (e.g., British Society for Research on Ageing, held annually in Birmingham) with dedicated recruitment booths highlighting local success stories.</w:t>
      </w:r>
    </w:p>
    <w:p>
      <w:pPr>
        <w:numPr>
          <w:ilvl w:val="0"/>
          <w:numId w:val="1005"/>
        </w:numPr>
        <w:pStyle w:val="Compact"/>
      </w:pPr>
      <w:r>
        <w:rPr>
          <w:bCs/>
          <w:b/>
        </w:rPr>
        <w:t xml:space="preserve">Global Webinars:</w:t>
      </w:r>
      <w:r>
        <w:t xml:space="preserve"> </w:t>
      </w:r>
      <w:r>
        <w:t xml:space="preserve">"Birmingham Medical Research: A Strategic Investment" series for international audiences, focusing on the city’s £500m Life Sciences Growth Fund and visa support for overseas talent.</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Actions</w:t>
      </w:r>
    </w:p>
    <w:p>
      <w:pPr>
        <w:pStyle w:val="BodyText"/>
      </w:pPr>
      <w:r>
        <w:t xml:space="preserve">Timeline (Months)</w:t>
      </w:r>
    </w:p>
    <w:p>
      <w:pPr>
        <w:pStyle w:val="BodyText"/>
      </w:pPr>
      <w:r>
        <w:t xml:space="preserve">Foundation (Months 1-2)</w:t>
      </w:r>
    </w:p>
    <w:p>
      <w:pPr>
        <w:pStyle w:val="BodyText"/>
      </w:pPr>
      <w:r>
        <w:t xml:space="preserve">Leverage existing Birmingham University partnerships; launch microsite and social media assets.</w:t>
      </w:r>
    </w:p>
    <w:p>
      <w:pPr>
        <w:pStyle w:val="BodyText"/>
      </w:pPr>
      <w:r>
        <w:t xml:space="preserve">1-2</w:t>
      </w:r>
    </w:p>
    <w:p>
      <w:pPr>
        <w:pStyle w:val="BodyText"/>
      </w:pPr>
      <w:r>
        <w:t xml:space="preserve">Growth (Months 3-6)</w:t>
      </w:r>
    </w:p>
    <w:p>
      <w:pPr>
        <w:pStyle w:val="BodyText"/>
      </w:pPr>
      <w:r>
        <w:t xml:space="preserve">Host first Birmingham Research Festival; deploy targeted LinkedIn campaigns to top 50 global institutions.</w:t>
      </w:r>
    </w:p>
    <w:p>
      <w:pPr>
        <w:pStyle w:val="BodyText"/>
      </w:pPr>
      <w:r>
        <w:t xml:space="preserve">3-6</w:t>
      </w:r>
    </w:p>
    <w:p>
      <w:pPr>
        <w:pStyle w:val="BodyText"/>
      </w:pPr>
      <w:r>
        <w:t xml:space="preserve">Scale (Months 7-12)</w:t>
      </w:r>
    </w:p>
    <w:p>
      <w:pPr>
        <w:pStyle w:val="BodyText"/>
      </w:pPr>
      <w:r>
        <w:t xml:space="preserve">Expand to international markets via webinars; publish annual "Birmingham Medical Research Impact Report" showcasing funded projects.</w:t>
      </w:r>
    </w:p>
    <w:p>
      <w:pPr>
        <w:pStyle w:val="BodyText"/>
      </w:pPr>
      <w:r>
        <w:t xml:space="preserve">7-12</w:t>
      </w:r>
    </w:p>
    <w:bookmarkEnd w:id="27"/>
    <w:bookmarkStart w:id="28" w:name="key-performance-indicators-kpis"/>
    <w:p>
      <w:pPr>
        <w:pStyle w:val="Heading2"/>
      </w:pPr>
      <w:r>
        <w:t xml:space="preserve">Key Performance Indicators (KPIs)</w:t>
      </w:r>
    </w:p>
    <w:p>
      <w:pPr>
        <w:pStyle w:val="FirstParagraph"/>
      </w:pPr>
      <w:r>
        <w:t xml:space="preserve">Success is measured through quantifiable metrics aligned with Birmingham’s recruitment goals:</w:t>
      </w:r>
    </w:p>
    <w:p>
      <w:pPr>
        <w:numPr>
          <w:ilvl w:val="0"/>
          <w:numId w:val="1006"/>
        </w:numPr>
        <w:pStyle w:val="Compact"/>
      </w:pPr>
      <w:r>
        <w:rPr>
          <w:bCs/>
          <w:b/>
        </w:rPr>
        <w:t xml:space="preserve">Talent Acquisition:</w:t>
      </w:r>
      <w:r>
        <w:t xml:space="preserve"> </w:t>
      </w:r>
      <w:r>
        <w:t xml:space="preserve">40% increase in qualified Medical Researcher applications from targeted geographies within 12 months.</w:t>
      </w:r>
    </w:p>
    <w:p>
      <w:pPr>
        <w:numPr>
          <w:ilvl w:val="0"/>
          <w:numId w:val="1006"/>
        </w:numPr>
        <w:pStyle w:val="Compact"/>
      </w:pPr>
      <w:r>
        <w:rPr>
          <w:bCs/>
          <w:b/>
        </w:rPr>
        <w:t xml:space="preserve">Retention Rate:</w:t>
      </w:r>
      <w:r>
        <w:t xml:space="preserve"> </w:t>
      </w:r>
      <w:r>
        <w:t xml:space="preserve">Achieve 90%+ retention of recruited Medical Researchers after Year 1 (vs. UK average of 78%).</w:t>
      </w:r>
    </w:p>
    <w:p>
      <w:pPr>
        <w:numPr>
          <w:ilvl w:val="0"/>
          <w:numId w:val="1006"/>
        </w:numPr>
        <w:pStyle w:val="Compact"/>
      </w:pPr>
      <w:r>
        <w:rPr>
          <w:bCs/>
          <w:b/>
        </w:rPr>
        <w:t xml:space="preserve">Brand Perception:</w:t>
      </w:r>
      <w:r>
        <w:t xml:space="preserve"> </w:t>
      </w:r>
      <w:r>
        <w:t xml:space="preserve">Increase "Birmingham as a medical research destination" in global researcher surveys by 35% (measured via annual YouGov benchmarking).</w:t>
      </w:r>
    </w:p>
    <w:p>
      <w:pPr>
        <w:numPr>
          <w:ilvl w:val="0"/>
          <w:numId w:val="1006"/>
        </w:numPr>
        <w:pStyle w:val="Compact"/>
      </w:pPr>
      <w:r>
        <w:rPr>
          <w:bCs/>
          <w:b/>
        </w:rPr>
        <w:t xml:space="preserve">Cost Efficiency:</w:t>
      </w:r>
      <w:r>
        <w:t xml:space="preserve"> </w:t>
      </w:r>
      <w:r>
        <w:t xml:space="preserve">Reduce cost-per-hire by 25% through digital channels versus traditional recruitment agencies.</w:t>
      </w:r>
    </w:p>
    <w:bookmarkEnd w:id="28"/>
    <w:bookmarkStart w:id="29" w:name="X7633902cfddd1682e659b157c42d5a339c559a4"/>
    <w:p>
      <w:pPr>
        <w:pStyle w:val="Heading2"/>
      </w:pPr>
      <w:r>
        <w:t xml:space="preserve">Conclusion: Birmingham as the UK’s Medical Research Catalyst</w:t>
      </w:r>
    </w:p>
    <w:p>
      <w:pPr>
        <w:pStyle w:val="FirstParagraph"/>
      </w:pPr>
      <w:r>
        <w:t xml:space="preserve">This Marketing Plan transforms Birmingham from a secondary option into the United Kingdom’s most compelling destination for Medical Researchers. By strategically highlighting the city’s unique ecosystem—where cutting-edge research merges with accessible living, NHS-scale collaboration, and robust investment—the plan positions local institutions as leaders in talent acquisition. As Medical Researchers increasingly prioritize purpose-driven careers with tangible impact, Birmingham’s integrated approach ensures it becomes synonymous with excellence in medical innovation across the United Kingdom. This is not merely a recruitment campaign; it is a strategic investment in Birmingham’s future as the UK’s preeminent hub for life sciences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Medical Researchers to Birmingham, United Kingdom</dc:title>
  <dc:creator/>
  <dc:language>en</dc:language>
  <cp:keywords/>
  <dcterms:created xsi:type="dcterms:W3CDTF">2026-07-24T13:16:48Z</dcterms:created>
  <dcterms:modified xsi:type="dcterms:W3CDTF">2026-07-24T13:16:48Z</dcterms:modified>
</cp:coreProperties>
</file>

<file path=docProps/custom.xml><?xml version="1.0" encoding="utf-8"?>
<Properties xmlns="http://schemas.openxmlformats.org/officeDocument/2006/custom-properties" xmlns:vt="http://schemas.openxmlformats.org/officeDocument/2006/docPropsVTypes"/>
</file>