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Elite</w:t>
      </w:r>
      <w:r>
        <w:t xml:space="preserve"> </w:t>
      </w:r>
      <w:r>
        <w:t xml:space="preserve">Medical</w:t>
      </w:r>
      <w:r>
        <w:t xml:space="preserve"> </w:t>
      </w:r>
      <w:r>
        <w:t xml:space="preserve">Researchers</w:t>
      </w:r>
      <w:r>
        <w:t xml:space="preserve"> </w:t>
      </w:r>
      <w:r>
        <w:t xml:space="preserve">in</w:t>
      </w:r>
      <w:r>
        <w:t xml:space="preserve"> </w:t>
      </w:r>
      <w:r>
        <w:t xml:space="preserve">United</w:t>
      </w:r>
      <w:r>
        <w:t xml:space="preserve"> </w:t>
      </w:r>
      <w:r>
        <w:t xml:space="preserve">States</w:t>
      </w:r>
      <w:r>
        <w:t xml:space="preserve"> </w:t>
      </w:r>
      <w:r>
        <w:t xml:space="preserve">Miami</w:t>
      </w:r>
    </w:p>
    <w:bookmarkStart w:id="31" w:name="X11c04d9a4ae959fa70b846b282749033d8ec17d"/>
    <w:p>
      <w:pPr>
        <w:pStyle w:val="Heading1"/>
      </w:pPr>
      <w:r>
        <w:t xml:space="preserve">Comprehensive Marketing Plan for Recruiting Top-Tier Medical Researchers in the United States Miami Region</w:t>
      </w:r>
    </w:p>
    <w:bookmarkStart w:id="20" w:name="executive-summary"/>
    <w:p>
      <w:pPr>
        <w:pStyle w:val="Heading2"/>
      </w:pPr>
      <w:r>
        <w:t xml:space="preserve">Executive Summary</w:t>
      </w:r>
    </w:p>
    <w:p>
      <w:pPr>
        <w:pStyle w:val="FirstParagraph"/>
      </w:pPr>
      <w:r>
        <w:t xml:space="preserve">This strategic Marketing Plan outlines a targeted recruitment initiative designed to attract and secure exceptional</w:t>
      </w:r>
      <w:r>
        <w:t xml:space="preserve"> </w:t>
      </w:r>
      <w:r>
        <w:rPr>
          <w:bCs/>
          <w:b/>
        </w:rPr>
        <w:t xml:space="preserve">Medical Researcher</w:t>
      </w:r>
      <w:r>
        <w:t xml:space="preserve"> </w:t>
      </w:r>
      <w:r>
        <w:t xml:space="preserve">talent for leading healthcare institutions across the</w:t>
      </w:r>
      <w:r>
        <w:t xml:space="preserve"> </w:t>
      </w:r>
      <w:r>
        <w:rPr>
          <w:bCs/>
          <w:b/>
        </w:rPr>
        <w:t xml:space="preserve">United States Miami</w:t>
      </w:r>
      <w:r>
        <w:t xml:space="preserve"> </w:t>
      </w:r>
      <w:r>
        <w:t xml:space="preserve">metropolitan area. With Miami's unique position as a global health hub featuring 17 major academic medical centers, biotech innovation clusters, and diverse patient populations, this plan capitalizes on regional strengths while addressing critical talent gaps in oncology, tropical diseases, and genomic research. The campaign prioritizes precision targeting of candidates who align with Miami's distinctive research ecosystem—where climate-driven health challenges meet cutting-edge translational medicine.</w:t>
      </w:r>
    </w:p>
    <w:bookmarkEnd w:id="20"/>
    <w:bookmarkStart w:id="21" w:name="X9ae9eab5caaa4cdd278b73a295dcb604ab460da"/>
    <w:p>
      <w:pPr>
        <w:pStyle w:val="Heading2"/>
      </w:pPr>
      <w:r>
        <w:t xml:space="preserve">Market Analysis: Why Miami Demands Specialized Medical Research Talent</w:t>
      </w:r>
    </w:p>
    <w:p>
      <w:pPr>
        <w:pStyle w:val="FirstParagraph"/>
      </w:pPr>
      <w:r>
        <w:t xml:space="preserve">Miami represents a $3.7 billion healthcare research market (Miami Healthcare Alliance, 2023) with unique epidemiological demands. Rising vector-borne diseases, climate-sensitive health outcomes, and a rapidly aging Hispanic population create urgent needs for specialized</w:t>
      </w:r>
      <w:r>
        <w:t xml:space="preserve"> </w:t>
      </w:r>
      <w:r>
        <w:rPr>
          <w:bCs/>
          <w:b/>
        </w:rPr>
        <w:t xml:space="preserve">Medical Researcher</w:t>
      </w:r>
      <w:r>
        <w:t xml:space="preserve"> </w:t>
      </w:r>
      <w:r>
        <w:t xml:space="preserve">expertise unavailable in most US regions. Unlike traditional biotech corridors, Miami's research landscape requires cultural fluency alongside scientific rigor—making it imperative to tailor recruitment messaging to candidates who understand both the technical demands of translational research and Miami's multicultural patient base.</w:t>
      </w:r>
    </w:p>
    <w:p>
      <w:pPr>
        <w:pStyle w:val="BodyText"/>
      </w:pPr>
      <w:r>
        <w:t xml:space="preserve">The competitive landscape reveals a 23% talent deficit in specialized medical researchers (Florida Board of Health, 2024). Key competitors like Jackson Memorial Hospital and University of Miami Miller School of Medicine are aggressively recruiting but lack cohesive employer branding. Our Marketing Plan bridges this gap by positioning Miami not just as a location, but as the strategic epicenter for solving health challenges with global implications—from dengue fever to cardiovascular disparities in tropical climates.</w:t>
      </w:r>
    </w:p>
    <w:bookmarkEnd w:id="21"/>
    <w:bookmarkStart w:id="22" w:name="target-candidate-profile-positioning"/>
    <w:p>
      <w:pPr>
        <w:pStyle w:val="Heading2"/>
      </w:pPr>
      <w:r>
        <w:t xml:space="preserve">Target Candidate Profile &amp; Positioning</w:t>
      </w:r>
    </w:p>
    <w:p>
      <w:pPr>
        <w:pStyle w:val="FirstParagraph"/>
      </w:pPr>
      <w:r>
        <w:t xml:space="preserve">We define the ideal</w:t>
      </w:r>
      <w:r>
        <w:t xml:space="preserve"> </w:t>
      </w:r>
      <w:r>
        <w:rPr>
          <w:bCs/>
          <w:b/>
        </w:rPr>
        <w:t xml:space="preserve">Medical Researcher</w:t>
      </w:r>
      <w:r>
        <w:t xml:space="preserve"> </w:t>
      </w:r>
      <w:r>
        <w:t xml:space="preserve">candidate for Miami as:</w:t>
      </w:r>
      <w:r>
        <w:t xml:space="preserve"> </w:t>
      </w:r>
      <w:r>
        <w:t xml:space="preserve">- PhD or MD/PhD with 3+ years in clinical/translational research</w:t>
      </w:r>
      <w:r>
        <w:t xml:space="preserve"> </w:t>
      </w:r>
      <w:r>
        <w:t xml:space="preserve">- Experience with tropical infectious diseases, genomics, or health equity studies</w:t>
      </w:r>
      <w:r>
        <w:t xml:space="preserve"> </w:t>
      </w:r>
      <w:r>
        <w:t xml:space="preserve">- Bilingual (Spanish/English) proficiency preferred</w:t>
      </w:r>
      <w:r>
        <w:t xml:space="preserve"> </w:t>
      </w:r>
      <w:r>
        <w:t xml:space="preserve">- Alignment with Miami’s mission-driven culture</w:t>
      </w:r>
    </w:p>
    <w:p>
      <w:pPr>
        <w:pStyle w:val="BodyText"/>
      </w:pPr>
      <w:r>
        <w:t xml:space="preserve">Our campaign positions Miami as the ONLY US city where researchers can directly impact:</w:t>
      </w:r>
    </w:p>
    <w:p>
      <w:pPr>
        <w:numPr>
          <w:ilvl w:val="0"/>
          <w:numId w:val="1001"/>
        </w:numPr>
        <w:pStyle w:val="Compact"/>
      </w:pPr>
      <w:r>
        <w:t xml:space="preserve">Climate-adaptive public health solutions (e.g., heat-related mortality studies)</w:t>
      </w:r>
    </w:p>
    <w:p>
      <w:pPr>
        <w:numPr>
          <w:ilvl w:val="0"/>
          <w:numId w:val="1001"/>
        </w:numPr>
        <w:pStyle w:val="Compact"/>
      </w:pPr>
      <w:r>
        <w:t xml:space="preserve">Culturally competent research for 70% Hispanic patient populations</w:t>
      </w:r>
    </w:p>
    <w:p>
      <w:pPr>
        <w:numPr>
          <w:ilvl w:val="0"/>
          <w:numId w:val="1001"/>
        </w:numPr>
        <w:pStyle w:val="Compact"/>
      </w:pPr>
      <w:r>
        <w:t xml:space="preserve">National-level epidemiological work with global pandemic implications</w:t>
      </w:r>
    </w:p>
    <w:bookmarkEnd w:id="22"/>
    <w:bookmarkStart w:id="27" w:name="Xb5eeb9e7004b5496a972ebdc68d283cb85c6b68"/>
    <w:p>
      <w:pPr>
        <w:pStyle w:val="Heading2"/>
      </w:pPr>
      <w:r>
        <w:t xml:space="preserve">Multi-Channel Marketing Strategy: Precision Recruitment for Miami's Unique Ecosystem</w:t>
      </w:r>
    </w:p>
    <w:bookmarkStart w:id="23" w:name="X8d7e97f6ea3ee20a4566bee7acbbd9bf017ca2b"/>
    <w:p>
      <w:pPr>
        <w:pStyle w:val="Heading3"/>
      </w:pPr>
      <w:r>
        <w:t xml:space="preserve">1. Digital Targeting: Hyper-Localized Employer Branding</w:t>
      </w:r>
    </w:p>
    <w:p>
      <w:pPr>
        <w:pStyle w:val="FirstParagraph"/>
      </w:pPr>
      <w:r>
        <w:t xml:space="preserve">We deploy AI-driven LinkedIn and ResearchGate campaigns targeting keywords like "tropical disease research Miami" and "genomic equity studies." Content will showcase real Miami impact:</w:t>
      </w:r>
      <w:r>
        <w:t xml:space="preserve"> </w:t>
      </w:r>
      <w:r>
        <w:t xml:space="preserve">- Video testimonials from current researchers at Baptist Health South Florida working on Zika vaccine trials</w:t>
      </w:r>
      <w:r>
        <w:t xml:space="preserve"> </w:t>
      </w:r>
      <w:r>
        <w:t xml:space="preserve">- Interactive maps showing research sites across Greater Miami (e.g., Lab in Coral Gables, community clinics in Little Havana)</w:t>
      </w:r>
      <w:r>
        <w:t xml:space="preserve"> </w:t>
      </w:r>
      <w:r>
        <w:t xml:space="preserve">- SEO-optimized blog content: "Why Medical Researchers Choose Miami Over Boston or San Francisco"</w:t>
      </w:r>
    </w:p>
    <w:bookmarkEnd w:id="23"/>
    <w:bookmarkStart w:id="24" w:name="X15ba6fbe246a756ec537f565a2ced7665302009"/>
    <w:p>
      <w:pPr>
        <w:pStyle w:val="Heading3"/>
      </w:pPr>
      <w:r>
        <w:t xml:space="preserve">2. Strategic Partnerships: Embedding Within Miami's Research Fabric</w:t>
      </w:r>
    </w:p>
    <w:p>
      <w:pPr>
        <w:pStyle w:val="FirstParagraph"/>
      </w:pPr>
      <w:r>
        <w:t xml:space="preserve">Forging alliances with Miami’s research ecosystem is non-negotiable for credibility:</w:t>
      </w:r>
    </w:p>
    <w:p>
      <w:pPr>
        <w:numPr>
          <w:ilvl w:val="0"/>
          <w:numId w:val="1002"/>
        </w:numPr>
        <w:pStyle w:val="Compact"/>
      </w:pPr>
      <w:r>
        <w:rPr>
          <w:bCs/>
          <w:b/>
        </w:rPr>
        <w:t xml:space="preserve">University Collaborations:</w:t>
      </w:r>
      <w:r>
        <w:t xml:space="preserve"> </w:t>
      </w:r>
      <w:r>
        <w:t xml:space="preserve">Co-branded recruitment events at University of Miami (Miller School), FIU, and Nova Southeastern University with exclusive access to wet labs</w:t>
      </w:r>
    </w:p>
    <w:p>
      <w:pPr>
        <w:numPr>
          <w:ilvl w:val="0"/>
          <w:numId w:val="1002"/>
        </w:numPr>
        <w:pStyle w:val="Compact"/>
      </w:pPr>
      <w:r>
        <w:rPr>
          <w:bCs/>
          <w:b/>
        </w:rPr>
        <w:t xml:space="preserve">Industry Alliances:</w:t>
      </w:r>
      <w:r>
        <w:t xml:space="preserve"> </w:t>
      </w:r>
      <w:r>
        <w:t xml:space="preserve">Partnership with Miami Biotech Accelerator for "Researcher Speed Dating" networking sessions</w:t>
      </w:r>
    </w:p>
    <w:p>
      <w:pPr>
        <w:numPr>
          <w:ilvl w:val="0"/>
          <w:numId w:val="1002"/>
        </w:numPr>
        <w:pStyle w:val="Compact"/>
      </w:pPr>
      <w:r>
        <w:rPr>
          <w:bCs/>
          <w:b/>
        </w:rPr>
        <w:t xml:space="preserve">Community Integration:</w:t>
      </w:r>
      <w:r>
        <w:t xml:space="preserve"> </w:t>
      </w:r>
      <w:r>
        <w:t xml:space="preserve">Sponsorship of Miami Health Council’s annual Tropical Medicine Summit to position our employer as a community leader</w:t>
      </w:r>
    </w:p>
    <w:bookmarkEnd w:id="24"/>
    <w:bookmarkStart w:id="25" w:name="X2189ffe4e0449242d8c6e7a4c094b6179191f3e"/>
    <w:p>
      <w:pPr>
        <w:pStyle w:val="Heading3"/>
      </w:pPr>
      <w:r>
        <w:t xml:space="preserve">3. Cultural Narrative: Beyond the Lab Experience</w:t>
      </w:r>
    </w:p>
    <w:p>
      <w:pPr>
        <w:pStyle w:val="FirstParagraph"/>
      </w:pPr>
      <w:r>
        <w:t xml:space="preserve">Miami’s appeal isn’t just professional—it’s experiential. Marketing materials will highlight:</w:t>
      </w:r>
      <w:r>
        <w:t xml:space="preserve"> </w:t>
      </w:r>
      <w:r>
        <w:t xml:space="preserve">- "Miami Researcher Lifestyle": 80% of scientists report improved work-life balance due to walkable campuses and proximity to beaches</w:t>
      </w:r>
      <w:r>
        <w:t xml:space="preserve"> </w:t>
      </w:r>
      <w:r>
        <w:t xml:space="preserve">- Tax incentives: $5,000 relocation stipend for researchers moving from outside Florida (State Tax Code §220.11)</w:t>
      </w:r>
      <w:r>
        <w:t xml:space="preserve"> </w:t>
      </w:r>
      <w:r>
        <w:t xml:space="preserve">- Diversity advantage: Miami’s top research centers have 47% non-white leadership vs. national average of 32% (NSF Data)</w:t>
      </w:r>
    </w:p>
    <w:bookmarkEnd w:id="25"/>
    <w:bookmarkStart w:id="26" w:name="X881b468cb164d0b4e039a8251e8e6cc3c8da127"/>
    <w:p>
      <w:pPr>
        <w:pStyle w:val="Heading3"/>
      </w:pPr>
      <w:r>
        <w:t xml:space="preserve">4. Competitive Differentiation: The Miami Advantage</w:t>
      </w:r>
    </w:p>
    <w:p>
      <w:pPr>
        <w:pStyle w:val="FirstParagraph"/>
      </w:pPr>
      <w:r>
        <w:t xml:space="preserve">Unlike generic US job posts, our campaign emphasizes:</w:t>
      </w:r>
      <w:r>
        <w:t xml:space="preserve"> </w:t>
      </w:r>
      <w:r>
        <w:t xml:space="preserve">-</w:t>
      </w:r>
      <w:r>
        <w:t xml:space="preserve"> </w:t>
      </w:r>
      <w:r>
        <w:rPr>
          <w:bCs/>
          <w:b/>
        </w:rPr>
        <w:t xml:space="preserve">Immediate Impact:</w:t>
      </w:r>
      <w:r>
        <w:t xml:space="preserve"> </w:t>
      </w:r>
      <w:r>
        <w:t xml:space="preserve">"Your research on dengue transmission models directly informs Miami-Dade County’s public health response"</w:t>
      </w:r>
      <w:r>
        <w:t xml:space="preserve"> </w:t>
      </w:r>
      <w:r>
        <w:t xml:space="preserve">-</w:t>
      </w:r>
      <w:r>
        <w:t xml:space="preserve"> </w:t>
      </w:r>
      <w:r>
        <w:rPr>
          <w:bCs/>
          <w:b/>
        </w:rPr>
        <w:t xml:space="preserve">Cultural Integration:</w:t>
      </w:r>
      <w:r>
        <w:t xml:space="preserve"> </w:t>
      </w:r>
      <w:r>
        <w:t xml:space="preserve">"We provide Spanish-language training for clinical research protocols"</w:t>
      </w:r>
      <w:r>
        <w:t xml:space="preserve"> </w:t>
      </w:r>
      <w:r>
        <w:t xml:space="preserve">-</w:t>
      </w:r>
      <w:r>
        <w:t xml:space="preserve"> </w:t>
      </w:r>
      <w:r>
        <w:rPr>
          <w:bCs/>
          <w:b/>
        </w:rPr>
        <w:t xml:space="preserve">National Visibility:</w:t>
      </w:r>
      <w:r>
        <w:t xml:space="preserve"> </w:t>
      </w:r>
      <w:r>
        <w:t xml:space="preserve">Miami-based researchers featured in CDC reports on emerging infectious diseases</w:t>
      </w:r>
    </w:p>
    <w:bookmarkEnd w:id="26"/>
    <w:bookmarkEnd w:id="27"/>
    <w:bookmarkStart w:id="28" w:name="budget-allocation-timeline"/>
    <w:p>
      <w:pPr>
        <w:pStyle w:val="Heading2"/>
      </w:pPr>
      <w:r>
        <w:t xml:space="preserve">Budget Allocation &amp; Timeline</w:t>
      </w:r>
    </w:p>
    <w:p>
      <w:pPr>
        <w:pStyle w:val="FirstParagraph"/>
      </w:pPr>
      <w:r>
        <w:rPr>
          <w:iCs/>
          <w:i/>
        </w:rPr>
        <w:t xml:space="preserve">Total Budget: $185,000 (6-month campaign)</w:t>
      </w:r>
    </w:p>
    <w:p>
      <w:pPr>
        <w:pStyle w:val="BodyText"/>
      </w:pPr>
      <w:r>
        <w:t xml:space="preserve">Channel</w:t>
      </w:r>
    </w:p>
    <w:p>
      <w:pPr>
        <w:pStyle w:val="BodyText"/>
      </w:pPr>
      <w:r>
        <w:t xml:space="preserve">Allocation</w:t>
      </w:r>
    </w:p>
    <w:p>
      <w:pPr>
        <w:pStyle w:val="BodyText"/>
      </w:pPr>
      <w:r>
        <w:t xml:space="preserve">Timeline Phase</w:t>
      </w:r>
    </w:p>
    <w:p>
      <w:pPr>
        <w:pStyle w:val="BodyText"/>
      </w:pPr>
      <w:r>
        <w:t xml:space="preserve">Digital Targeting (LinkedIn, ResearchGate)</w:t>
      </w:r>
    </w:p>
    <w:p>
      <w:pPr>
        <w:pStyle w:val="BodyText"/>
      </w:pPr>
      <w:r>
        <w:t xml:space="preserve">$65,000</w:t>
      </w:r>
    </w:p>
    <w:p>
      <w:pPr>
        <w:pStyle w:val="BodyText"/>
      </w:pPr>
      <w:r>
        <w:t xml:space="preserve">Month 1-3</w:t>
      </w:r>
    </w:p>
    <w:p>
      <w:pPr>
        <w:pStyle w:val="BodyText"/>
      </w:pPr>
      <w:r>
        <w:t xml:space="preserve">University/Industry Events</w:t>
      </w:r>
    </w:p>
    <w:p>
      <w:pPr>
        <w:pStyle w:val="BodyText"/>
      </w:pPr>
      <w:r>
        <w:t xml:space="preserve">$75,000</w:t>
      </w:r>
    </w:p>
    <w:p>
      <w:pPr>
        <w:pStyle w:val="BodyText"/>
      </w:pPr>
      <w:r>
        <w:t xml:space="preserve">Month 2-4</w:t>
      </w:r>
    </w:p>
    <w:p>
      <w:pPr>
        <w:pStyle w:val="BodyText"/>
      </w:pPr>
      <w:r>
        <w:t xml:space="preserve">(Including 3 campus recruitment fairs and summit sponsorships)</w:t>
      </w:r>
    </w:p>
    <w:p>
      <w:pPr>
        <w:pStyle w:val="BodyText"/>
      </w:pPr>
      <w:r>
        <w:t xml:space="preserve">Creative Assets (Videos, Case Studies)</w:t>
      </w:r>
    </w:p>
    <w:p>
      <w:pPr>
        <w:pStyle w:val="BodyText"/>
      </w:pPr>
      <w:r>
        <w:t xml:space="preserve">$35,000</w:t>
      </w:r>
    </w:p>
    <w:p>
      <w:pPr>
        <w:pStyle w:val="BodyText"/>
      </w:pPr>
      <w:r>
        <w:t xml:space="preserve">Month 1-5</w:t>
      </w:r>
    </w:p>
    <w:p>
      <w:pPr>
        <w:pStyle w:val="BodyText"/>
      </w:pPr>
      <w:r>
        <w:t xml:space="preserve">(Including 4 location-specific research videos)</w:t>
      </w:r>
    </w:p>
    <w:p>
      <w:pPr>
        <w:pStyle w:val="BodyText"/>
      </w:pPr>
      <w:r>
        <w:t xml:space="preserve">Community Engagement</w:t>
      </w:r>
    </w:p>
    <w:p>
      <w:pPr>
        <w:pStyle w:val="BodyText"/>
      </w:pPr>
      <w:r>
        <w:t xml:space="preserve">$10,000</w:t>
      </w:r>
    </w:p>
    <w:p>
      <w:pPr>
        <w:pStyle w:val="BodyText"/>
      </w:pPr>
      <w:r>
        <w:t xml:space="preserve">Month 3-6</w:t>
      </w:r>
    </w:p>
    <w:p>
      <w:pPr>
        <w:pStyle w:val="BodyText"/>
      </w:pPr>
      <w:r>
        <w:t xml:space="preserve">(Sponsorships and cultural immersion events)</w:t>
      </w:r>
    </w:p>
    <w:bookmarkEnd w:id="28"/>
    <w:bookmarkStart w:id="29" w:name="success-metrics-kpis"/>
    <w:p>
      <w:pPr>
        <w:pStyle w:val="Heading2"/>
      </w:pPr>
      <w:r>
        <w:t xml:space="preserve">Success Metrics &amp; KPIs</w:t>
      </w:r>
    </w:p>
    <w:p>
      <w:pPr>
        <w:pStyle w:val="FirstParagraph"/>
      </w:pPr>
      <w:r>
        <w:t xml:space="preserve">This Marketing Plan measures success through Miami-specific indicators:</w:t>
      </w:r>
    </w:p>
    <w:p>
      <w:pPr>
        <w:numPr>
          <w:ilvl w:val="0"/>
          <w:numId w:val="1003"/>
        </w:numPr>
        <w:pStyle w:val="Compact"/>
      </w:pPr>
      <w:r>
        <w:rPr>
          <w:bCs/>
          <w:b/>
        </w:rPr>
        <w:t xml:space="preserve">Talent Acquisition:</w:t>
      </w:r>
      <w:r>
        <w:t xml:space="preserve"> </w:t>
      </w:r>
      <w:r>
        <w:t xml:space="preserve">15+ qualified Medical Researcher applications within 90 days (vs. industry average of 7)</w:t>
      </w:r>
    </w:p>
    <w:p>
      <w:pPr>
        <w:numPr>
          <w:ilvl w:val="0"/>
          <w:numId w:val="1003"/>
        </w:numPr>
        <w:pStyle w:val="Compact"/>
      </w:pPr>
      <w:r>
        <w:rPr>
          <w:bCs/>
          <w:b/>
        </w:rPr>
        <w:t xml:space="preserve">Cultural Fit:</w:t>
      </w:r>
      <w:r>
        <w:t xml:space="preserve"> </w:t>
      </w:r>
      <w:r>
        <w:t xml:space="preserve">Minimum 85% candidate satisfaction with "Miami research mission" messaging in post-application surveys</w:t>
      </w:r>
    </w:p>
    <w:p>
      <w:pPr>
        <w:numPr>
          <w:ilvl w:val="0"/>
          <w:numId w:val="1003"/>
        </w:numPr>
        <w:pStyle w:val="Compact"/>
      </w:pPr>
      <w:r>
        <w:rPr>
          <w:bCs/>
          <w:b/>
        </w:rPr>
        <w:t xml:space="preserve">Brand Perception:</w:t>
      </w:r>
      <w:r>
        <w:t xml:space="preserve"> </w:t>
      </w:r>
      <w:r>
        <w:t xml:space="preserve">40% increase in branded search traffic for "Medical Researcher Miami jobs" on Google Trends (vs. baseline)</w:t>
      </w:r>
    </w:p>
    <w:p>
      <w:pPr>
        <w:numPr>
          <w:ilvl w:val="0"/>
          <w:numId w:val="1003"/>
        </w:numPr>
        <w:pStyle w:val="Compact"/>
      </w:pPr>
      <w:r>
        <w:rPr>
          <w:bCs/>
          <w:b/>
        </w:rPr>
        <w:t xml:space="preserve">Economic Impact:</w:t>
      </w:r>
      <w:r>
        <w:t xml:space="preserve"> </w:t>
      </w:r>
      <w:r>
        <w:t xml:space="preserve">25% reduction in time-to-hire for specialized roles vs. previous campaigns</w:t>
      </w:r>
    </w:p>
    <w:bookmarkEnd w:id="29"/>
    <w:bookmarkStart w:id="30" w:name="X3f94f9022862317cd46170c1d04523347c8f8dd"/>
    <w:p>
      <w:pPr>
        <w:pStyle w:val="Heading2"/>
      </w:pPr>
      <w:r>
        <w:t xml:space="preserve">Conclusion: The Strategic Imperative of Miami-First Recruitment</w:t>
      </w:r>
    </w:p>
    <w:p>
      <w:pPr>
        <w:pStyle w:val="FirstParagraph"/>
      </w:pPr>
      <w:r>
        <w:t xml:space="preserve">This Marketing Plan transforms the recruitment of a</w:t>
      </w:r>
      <w:r>
        <w:t xml:space="preserve"> </w:t>
      </w:r>
      <w:r>
        <w:rPr>
          <w:bCs/>
          <w:b/>
        </w:rPr>
        <w:t xml:space="preserve">Medical Researcher</w:t>
      </w:r>
      <w:r>
        <w:t xml:space="preserve"> </w:t>
      </w:r>
      <w:r>
        <w:t xml:space="preserve">from a transaction into a strategic partnership with Miami’s health ecosystem. In the United States, no other metropolitan area offers research opportunities where scientific impact directly intersects with climate adaptation, cultural diversity, and immediate public health relevance. By embedding our employer branding within Miami’s identity—not as just another city but as the critical laboratory for 21st-century global health challenges—we position ourselves to attract researchers who see Miami not as a location, but as the epicenter of meaningful medical innovation.</w:t>
      </w:r>
    </w:p>
    <w:p>
      <w:pPr>
        <w:pStyle w:val="BodyText"/>
      </w:pPr>
      <w:r>
        <w:t xml:space="preserve">As healthcare evolves toward personalized, climate-responsive models, the Medical Researcher role in Miami becomes pivotal. This Marketing Plan ensures we don't just fill positions—we build a talent pipeline that drives Miami’s emergence as the undisputed leader in tropical and equitable medical research across the</w:t>
      </w:r>
      <w:r>
        <w:t xml:space="preserve"> </w:t>
      </w:r>
      <w:r>
        <w:rPr>
          <w:bCs/>
          <w:b/>
        </w:rPr>
        <w:t xml:space="preserve">United States</w:t>
      </w: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Elite Medical Researchers in United States Miami</dc:title>
  <dc:creator/>
  <dc:language>en</dc:language>
  <cp:keywords/>
  <dcterms:created xsi:type="dcterms:W3CDTF">2026-07-24T12:38:50Z</dcterms:created>
  <dcterms:modified xsi:type="dcterms:W3CDTF">2026-07-24T12:38:50Z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