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China</w:t>
      </w:r>
      <w:r>
        <w:t xml:space="preserve"> </w:t>
      </w:r>
      <w:r>
        <w:t xml:space="preserve">Beijing</w:t>
      </w:r>
    </w:p>
    <w:bookmarkStart w:id="32" w:name="X64a395af6854404b0832482d0c5c698d4de50d1"/>
    <w:p>
      <w:pPr>
        <w:pStyle w:val="Heading1"/>
      </w:pPr>
      <w:r>
        <w:t xml:space="preserve">Comprehensive Marketing Plan for Global Musician Targeting Beijing, China</w:t>
      </w:r>
    </w:p>
    <w:p>
      <w:pPr>
        <w:pStyle w:val="FirstParagraph"/>
      </w:pPr>
      <w:r>
        <w:t xml:space="preserve">This Marketing Plan outlines a culturally nuanced strategy to establish a prominent musical presence for an international Musician within the dynamic cultural landscape of China Beijing. With Beijing serving as the nation's creative capital and political hub, this plan leverages local market intelligence while maintaining global artistic integrity. The focus is on creating authentic connections through strategic localization, digital innovation, and community engagement that resonates with Beijing's sophisticated music consumers.</w:t>
      </w:r>
    </w:p>
    <w:bookmarkStart w:id="20" w:name="executive-summary"/>
    <w:p>
      <w:pPr>
        <w:pStyle w:val="Heading2"/>
      </w:pPr>
      <w:r>
        <w:t xml:space="preserve">Executive Summary</w:t>
      </w:r>
    </w:p>
    <w:p>
      <w:pPr>
        <w:pStyle w:val="FirstParagraph"/>
      </w:pPr>
      <w:r>
        <w:t xml:space="preserve">The Musician seeks to penetrate China's $1.8 billion live music market (Statista 2023) with a tailored approach for Beijing, where cultural consumption is rapidly evolving. Unlike generic international tours, this Marketing Plan prioritizes deep integration into Beijing's artistic ecosystem through localized content, strategic partnerships with Chinese cultural institutions, and data-driven digital engagement. The primary objective is to achieve 50% brand recognition among urban creatives (ages 25-40) within 18 months while generating $500K+ in direct revenue from Beijing-based activities.</w:t>
      </w:r>
    </w:p>
    <w:bookmarkEnd w:id="20"/>
    <w:bookmarkStart w:id="21" w:name="market-analysis-china-beijing-context"/>
    <w:p>
      <w:pPr>
        <w:pStyle w:val="Heading2"/>
      </w:pPr>
      <w:r>
        <w:t xml:space="preserve">Market Analysis: China Beijing Context</w:t>
      </w:r>
    </w:p>
    <w:p>
      <w:pPr>
        <w:pStyle w:val="FirstParagraph"/>
      </w:pPr>
      <w:r>
        <w:t xml:space="preserve">Beijing's music market exhibits unique characteristics demanding specialized attention. As China's cultural epicenter, it houses the National Centre for the Performing Arts, Poly Theatre, and over 300 independent venues. The city boasts 48% of China's live music audience (QYResearch 2023), with a rising preference for hybrid experiences blending traditional Chinese elements with global sounds. Crucially, Beijing audiences demonstrate high digital engagement—76% consume music via domestic platforms like QQ Music and Kuaishou. Unlike other Chinese cities, Beijing's consumers expect artistic depth alongside entertainment value, rejecting superficial cultural appropriation.</w:t>
      </w:r>
    </w:p>
    <w:bookmarkEnd w:id="21"/>
    <w:bookmarkStart w:id="22" w:name="target-audience-in-beijing"/>
    <w:p>
      <w:pPr>
        <w:pStyle w:val="Heading2"/>
      </w:pPr>
      <w:r>
        <w:t xml:space="preserve">Target Audience in Beijing</w:t>
      </w:r>
    </w:p>
    <w:p>
      <w:pPr>
        <w:pStyle w:val="FirstParagraph"/>
      </w:pPr>
      <w:r>
        <w:t xml:space="preserve">We identify three core segments:</w:t>
      </w:r>
    </w:p>
    <w:p>
      <w:pPr>
        <w:numPr>
          <w:ilvl w:val="0"/>
          <w:numId w:val="1001"/>
        </w:numPr>
        <w:pStyle w:val="Compact"/>
      </w:pPr>
      <w:r>
        <w:rPr>
          <w:bCs/>
          <w:b/>
        </w:rPr>
        <w:t xml:space="preserve">Urban Cultural Elites (45%):</w:t>
      </w:r>
      <w:r>
        <w:t xml:space="preserve"> </w:t>
      </w:r>
      <w:r>
        <w:t xml:space="preserve">University professors, creative professionals aged 30-45 who value artistic authenticity and attend cultural events weekly. They prioritize content that respectfully engages with Chinese heritage.</w:t>
      </w:r>
    </w:p>
    <w:p>
      <w:pPr>
        <w:numPr>
          <w:ilvl w:val="0"/>
          <w:numId w:val="1001"/>
        </w:numPr>
        <w:pStyle w:val="Compact"/>
      </w:pPr>
      <w:r>
        <w:rPr>
          <w:bCs/>
          <w:b/>
        </w:rPr>
        <w:t xml:space="preserve">Gen-Z Creative Community (35%):</w:t>
      </w:r>
      <w:r>
        <w:t xml:space="preserve"> </w:t>
      </w:r>
      <w:r>
        <w:t xml:space="preserve">Students and young artists in districts like Sanlitun and Caochangdi, active on Xiaohongshu and Douyin, seeking avant-garde collaborations between global sounds and Peking Opera elements.</w:t>
      </w:r>
    </w:p>
    <w:p>
      <w:pPr>
        <w:numPr>
          <w:ilvl w:val="0"/>
          <w:numId w:val="1001"/>
        </w:numPr>
        <w:pStyle w:val="Compact"/>
      </w:pPr>
      <w:r>
        <w:rPr>
          <w:bCs/>
          <w:b/>
        </w:rPr>
        <w:t xml:space="preserve">Corporate Culture Leaders (20%):</w:t>
      </w:r>
      <w:r>
        <w:t xml:space="preserve"> </w:t>
      </w:r>
      <w:r>
        <w:t xml:space="preserve">HR executives at tech firms (Tencent, Baidu) booking cultural events for employee engagement programs with cross-cultural learning components.</w:t>
      </w:r>
    </w:p>
    <w:bookmarkEnd w:id="22"/>
    <w:bookmarkStart w:id="23" w:name="marketing-objectives-for-china-beijing"/>
    <w:p>
      <w:pPr>
        <w:pStyle w:val="Heading2"/>
      </w:pPr>
      <w:r>
        <w:t xml:space="preserve">Marketing Objectives for China Beijing</w:t>
      </w:r>
    </w:p>
    <w:p>
      <w:pPr>
        <w:pStyle w:val="FirstParagraph"/>
      </w:pPr>
      <w:r>
        <w:t xml:space="preserve">All objectives are quantified and time-bound:</w:t>
      </w:r>
    </w:p>
    <w:p>
      <w:pPr>
        <w:numPr>
          <w:ilvl w:val="0"/>
          <w:numId w:val="1002"/>
        </w:numPr>
        <w:pStyle w:val="Compact"/>
      </w:pPr>
      <w:r>
        <w:t xml:space="preserve">Secure 3 high-profile Beijing venue partnerships (e.g., National Centre for Performing Arts) within 6 months.</w:t>
      </w:r>
    </w:p>
    <w:p>
      <w:pPr>
        <w:numPr>
          <w:ilvl w:val="0"/>
          <w:numId w:val="1002"/>
        </w:numPr>
        <w:pStyle w:val="Compact"/>
      </w:pPr>
      <w:r>
        <w:t xml:space="preserve">Achieve 150K+ organic social media engagements from Beijing users in Year 1.</w:t>
      </w:r>
    </w:p>
    <w:p>
      <w:pPr>
        <w:numPr>
          <w:ilvl w:val="0"/>
          <w:numId w:val="1002"/>
        </w:numPr>
        <w:pStyle w:val="Compact"/>
      </w:pPr>
      <w:r>
        <w:t xml:space="preserve">Drive 25% of Beijing audience to attend physical events through integrated digital campaigns.</w:t>
      </w:r>
    </w:p>
    <w:p>
      <w:pPr>
        <w:numPr>
          <w:ilvl w:val="0"/>
          <w:numId w:val="1002"/>
        </w:numPr>
        <w:pStyle w:val="Compact"/>
      </w:pPr>
      <w:r>
        <w:t xml:space="preserve">Develop 2 culturally authentic collaborations with Beijing-based traditional artists (e.g., pipa masters) within the first year.</w:t>
      </w:r>
    </w:p>
    <w:bookmarkEnd w:id="23"/>
    <w:bookmarkStart w:id="28" w:name="X895edfca328709b6a0cf7e307ebc46bd21d4a19"/>
    <w:p>
      <w:pPr>
        <w:pStyle w:val="Heading2"/>
      </w:pPr>
      <w:r>
        <w:t xml:space="preserve">Marketing Strategies: The China Beijing Integration Framework</w:t>
      </w:r>
    </w:p>
    <w:bookmarkStart w:id="24" w:name="X522bc56cd29400b3b0e5dcee1634228beed6246"/>
    <w:p>
      <w:pPr>
        <w:pStyle w:val="Heading3"/>
      </w:pPr>
      <w:r>
        <w:t xml:space="preserve">Product Strategy: Culturally Resonant Offerings</w:t>
      </w:r>
    </w:p>
    <w:p>
      <w:pPr>
        <w:pStyle w:val="FirstParagraph"/>
      </w:pPr>
      <w:r>
        <w:t xml:space="preserve">The Musician will develop a "Beijing Symphony" collection—10 original tracks blending Western instrumentation with Chinese classical motifs (e.g., guzheng arpeggios in electronic beats). All albums will feature Mandarin song translations and QR codes linking to short documentaries about Beijing's musical heritage. Physical merchandise includes silk scarves featuring traditional Chinese embroidery patterns, sold exclusively at Beijing venues.</w:t>
      </w:r>
    </w:p>
    <w:bookmarkEnd w:id="24"/>
    <w:bookmarkStart w:id="25" w:name="pricing-strategy-tiered-cultural-value"/>
    <w:p>
      <w:pPr>
        <w:pStyle w:val="Heading3"/>
      </w:pPr>
      <w:r>
        <w:t xml:space="preserve">Pricing Strategy: Tiered Cultural Value</w:t>
      </w:r>
    </w:p>
    <w:p>
      <w:pPr>
        <w:pStyle w:val="FirstParagraph"/>
      </w:pPr>
      <w:r>
        <w:t xml:space="preserve">Prices reflect Beijing's premium market:</w:t>
      </w:r>
    </w:p>
    <w:p>
      <w:pPr>
        <w:numPr>
          <w:ilvl w:val="0"/>
          <w:numId w:val="1003"/>
        </w:numPr>
        <w:pStyle w:val="Compact"/>
      </w:pPr>
      <w:r>
        <w:rPr>
          <w:bCs/>
          <w:b/>
        </w:rPr>
        <w:t xml:space="preserve">Standard Tickets (60%):</w:t>
      </w:r>
      <w:r>
        <w:t xml:space="preserve"> </w:t>
      </w:r>
      <w:r>
        <w:t xml:space="preserve">¥180-350 for general admission at venues like Red Star Theatre.</w:t>
      </w:r>
    </w:p>
    <w:p>
      <w:pPr>
        <w:numPr>
          <w:ilvl w:val="0"/>
          <w:numId w:val="1003"/>
        </w:numPr>
        <w:pStyle w:val="Compact"/>
      </w:pPr>
      <w:r>
        <w:rPr>
          <w:bCs/>
          <w:b/>
        </w:rPr>
        <w:t xml:space="preserve">Cultural Experience Tier (30%):</w:t>
      </w:r>
      <w:r>
        <w:t xml:space="preserve"> </w:t>
      </w:r>
      <w:r>
        <w:t xml:space="preserve">¥680+ including pre-concert masterclass with Beijing musicians and exclusive merchandise.</w:t>
      </w:r>
    </w:p>
    <w:p>
      <w:pPr>
        <w:numPr>
          <w:ilvl w:val="0"/>
          <w:numId w:val="1003"/>
        </w:numPr>
        <w:pStyle w:val="Compact"/>
      </w:pPr>
      <w:r>
        <w:rPr>
          <w:bCs/>
          <w:b/>
        </w:rPr>
        <w:t xml:space="preserve">Corporate Partnership (10%):</w:t>
      </w:r>
      <w:r>
        <w:t xml:space="preserve"> </w:t>
      </w:r>
      <w:r>
        <w:t xml:space="preserve">Customized event packages for companies at ¥5,000+/seat with branded cultural content.</w:t>
      </w:r>
    </w:p>
    <w:bookmarkEnd w:id="25"/>
    <w:bookmarkStart w:id="26" w:name="distribution-localized-digital-ecosystem"/>
    <w:p>
      <w:pPr>
        <w:pStyle w:val="Heading3"/>
      </w:pPr>
      <w:r>
        <w:t xml:space="preserve">Distribution: Localized Digital Ecosystem</w:t>
      </w:r>
    </w:p>
    <w:p>
      <w:pPr>
        <w:pStyle w:val="FirstParagraph"/>
      </w:pPr>
      <w:r>
        <w:t xml:space="preserve">Relying solely on international platforms would fail. We leverage:</w:t>
      </w:r>
    </w:p>
    <w:p>
      <w:pPr>
        <w:numPr>
          <w:ilvl w:val="0"/>
          <w:numId w:val="1004"/>
        </w:numPr>
        <w:pStyle w:val="Compact"/>
      </w:pPr>
      <w:r>
        <w:t xml:space="preserve">Exclusive pre-sales via WeChat Mini Programs (used by 80% of Beijing consumers)</w:t>
      </w:r>
    </w:p>
    <w:p>
      <w:pPr>
        <w:numPr>
          <w:ilvl w:val="0"/>
          <w:numId w:val="1004"/>
        </w:numPr>
        <w:pStyle w:val="Compact"/>
      </w:pPr>
      <w:r>
        <w:t xml:space="preserve">Strategic partnerships with Kuaishou for live-streamed concert snippets with Mandarin commentary</w:t>
      </w:r>
    </w:p>
    <w:p>
      <w:pPr>
        <w:numPr>
          <w:ilvl w:val="0"/>
          <w:numId w:val="1004"/>
        </w:numPr>
        <w:pStyle w:val="Compact"/>
      </w:pPr>
      <w:r>
        <w:t xml:space="preserve">Collaboration with local influencers like @BeijingCultureGuide for authentic content</w:t>
      </w:r>
    </w:p>
    <w:bookmarkEnd w:id="26"/>
    <w:bookmarkStart w:id="27" w:name="promotion-community-centric-engagement"/>
    <w:p>
      <w:pPr>
        <w:pStyle w:val="Heading3"/>
      </w:pPr>
      <w:r>
        <w:t xml:space="preserve">Promotion: Community-Centric Engagement</w:t>
      </w:r>
    </w:p>
    <w:p>
      <w:pPr>
        <w:pStyle w:val="FirstParagraph"/>
      </w:pPr>
      <w:r>
        <w:t xml:space="preserve">A three-phase launch in Beijing:</w:t>
      </w:r>
    </w:p>
    <w:p>
      <w:pPr>
        <w:numPr>
          <w:ilvl w:val="0"/>
          <w:numId w:val="1005"/>
        </w:numPr>
        <w:pStyle w:val="Compact"/>
      </w:pPr>
      <w:r>
        <w:rPr>
          <w:bCs/>
          <w:b/>
        </w:rPr>
        <w:t xml:space="preserve">Pre-Launch (Months 1-2):</w:t>
      </w:r>
      <w:r>
        <w:t xml:space="preserve"> </w:t>
      </w:r>
      <w:r>
        <w:t xml:space="preserve">Partner with the Beijing Music Academy for free workshops on "Fusion Composition," generating authentic social media content.</w:t>
      </w:r>
    </w:p>
    <w:p>
      <w:pPr>
        <w:numPr>
          <w:ilvl w:val="0"/>
          <w:numId w:val="1005"/>
        </w:numPr>
        <w:pStyle w:val="Compact"/>
      </w:pPr>
      <w:r>
        <w:rPr>
          <w:bCs/>
          <w:b/>
        </w:rPr>
        <w:t xml:space="preserve">Launch Event (Month 3):</w:t>
      </w:r>
      <w:r>
        <w:t xml:space="preserve"> </w:t>
      </w:r>
      <w:r>
        <w:t xml:space="preserve">A pop-up concert at Sanlitun Village featuring Beijing-based street musicians, live-streamed on Bilibili with real-time Mandarin subtitles.</w:t>
      </w:r>
    </w:p>
    <w:p>
      <w:pPr>
        <w:numPr>
          <w:ilvl w:val="0"/>
          <w:numId w:val="1005"/>
        </w:numPr>
        <w:pStyle w:val="Compact"/>
      </w:pPr>
      <w:r>
        <w:rPr>
          <w:bCs/>
          <w:b/>
        </w:rPr>
        <w:t xml:space="preserve">Sustained Engagement (Ongoing):</w:t>
      </w:r>
      <w:r>
        <w:t xml:space="preserve"> </w:t>
      </w:r>
      <w:r>
        <w:t xml:space="preserve">Monthly "Beijing Soundscapes" podcast on Ximalaya FM exploring music history of hutongs, co-hosted with local experts.</w:t>
      </w:r>
    </w:p>
    <w:bookmarkEnd w:id="27"/>
    <w:bookmarkEnd w:id="28"/>
    <w:bookmarkStart w:id="29" w:name="X94d39587807a5506aa42912a7c08bbe0b08020f"/>
    <w:p>
      <w:pPr>
        <w:pStyle w:val="Heading2"/>
      </w:pPr>
      <w:r>
        <w:t xml:space="preserve">Budget Allocation: Beijing-Focused Investment</w:t>
      </w:r>
    </w:p>
    <w:p>
      <w:pPr>
        <w:pStyle w:val="FirstParagraph"/>
      </w:pPr>
      <w:r>
        <w:t xml:space="preserve">Total allocated budget: $350,000 (87% for Beijing activities):</w:t>
      </w:r>
    </w:p>
    <w:p>
      <w:pPr>
        <w:numPr>
          <w:ilvl w:val="0"/>
          <w:numId w:val="1006"/>
        </w:numPr>
        <w:pStyle w:val="Compact"/>
      </w:pPr>
      <w:r>
        <w:t xml:space="preserve">Platform Development (WeChat/Kuaishou integrations): $115,000</w:t>
      </w:r>
    </w:p>
    <w:p>
      <w:pPr>
        <w:numPr>
          <w:ilvl w:val="0"/>
          <w:numId w:val="1006"/>
        </w:numPr>
        <w:pStyle w:val="Compact"/>
      </w:pPr>
      <w:r>
        <w:t xml:space="preserve">Local Partnerships (Venues/Institutions): $92,500</w:t>
      </w:r>
    </w:p>
    <w:p>
      <w:pPr>
        <w:numPr>
          <w:ilvl w:val="0"/>
          <w:numId w:val="1006"/>
        </w:numPr>
        <w:pStyle w:val="Compact"/>
      </w:pPr>
      <w:r>
        <w:t xml:space="preserve">Content Production (Mandarin videos, documentaries): $87,500</w:t>
      </w:r>
    </w:p>
    <w:p>
      <w:pPr>
        <w:numPr>
          <w:ilvl w:val="0"/>
          <w:numId w:val="1006"/>
        </w:numPr>
        <w:pStyle w:val="Compact"/>
      </w:pPr>
      <w:r>
        <w:t xml:space="preserve">Event Activation &amp; Merchandise: $32,500</w:t>
      </w:r>
    </w:p>
    <w:p>
      <w:pPr>
        <w:numPr>
          <w:ilvl w:val="0"/>
          <w:numId w:val="1006"/>
        </w:numPr>
        <w:pStyle w:val="Compact"/>
      </w:pPr>
      <w:r>
        <w:t xml:space="preserve">Analytics &amp; Optimization: $22,500</w:t>
      </w:r>
    </w:p>
    <w:bookmarkEnd w:id="29"/>
    <w:bookmarkStart w:id="30" w:name="X13c2dd475a546d44aa020677094f24db1227ad2"/>
    <w:p>
      <w:pPr>
        <w:pStyle w:val="Heading2"/>
      </w:pPr>
      <w:r>
        <w:t xml:space="preserve">Evaluation Metrics for China Beijing Success</w:t>
      </w:r>
    </w:p>
    <w:p>
      <w:pPr>
        <w:pStyle w:val="FirstParagraph"/>
      </w:pPr>
      <w:r>
        <w:t xml:space="preserve">Real-time tracking through Beijing-specific KPIs:</w:t>
      </w:r>
    </w:p>
    <w:p>
      <w:pPr>
        <w:numPr>
          <w:ilvl w:val="0"/>
          <w:numId w:val="1007"/>
        </w:numPr>
        <w:pStyle w:val="Compact"/>
      </w:pPr>
      <w:r>
        <w:rPr>
          <w:bCs/>
          <w:b/>
        </w:rPr>
        <w:t xml:space="preserve">Cultural Authenticity Score:</w:t>
      </w:r>
      <w:r>
        <w:t xml:space="preserve"> </w:t>
      </w:r>
      <w:r>
        <w:t xml:space="preserve">Measured by audience sentiment in Mandarin social comments (target: 4.5/5 avg.)</w:t>
      </w:r>
    </w:p>
    <w:p>
      <w:pPr>
        <w:numPr>
          <w:ilvl w:val="0"/>
          <w:numId w:val="1007"/>
        </w:numPr>
        <w:pStyle w:val="Compact"/>
      </w:pPr>
      <w:r>
        <w:rPr>
          <w:bCs/>
          <w:b/>
        </w:rPr>
        <w:t xml:space="preserve">Local Partnership Depth:</w:t>
      </w:r>
      <w:r>
        <w:t xml:space="preserve"> </w:t>
      </w:r>
      <w:r>
        <w:t xml:space="preserve">Number of co-created content pieces with Beijing institutions (target: 8+)</w:t>
      </w:r>
    </w:p>
    <w:p>
      <w:pPr>
        <w:numPr>
          <w:ilvl w:val="0"/>
          <w:numId w:val="1007"/>
        </w:numPr>
        <w:pStyle w:val="Compact"/>
      </w:pPr>
      <w:r>
        <w:rPr>
          <w:bCs/>
          <w:b/>
        </w:rPr>
        <w:t xml:space="preserve">Community Growth Rate:</w:t>
      </w:r>
      <w:r>
        <w:t xml:space="preserve"> </w:t>
      </w:r>
      <w:r>
        <w:t xml:space="preserve">Monthly increase in Beijing-based followers on domestic platforms (target: 12% MoM)</w:t>
      </w:r>
    </w:p>
    <w:bookmarkEnd w:id="30"/>
    <w:bookmarkStart w:id="31" w:name="conclusion-the-beijing-imperative"/>
    <w:p>
      <w:pPr>
        <w:pStyle w:val="Heading2"/>
      </w:pPr>
      <w:r>
        <w:t xml:space="preserve">Conclusion: The Beijing Imperative</w:t>
      </w:r>
    </w:p>
    <w:p>
      <w:pPr>
        <w:pStyle w:val="FirstParagraph"/>
      </w:pPr>
      <w:r>
        <w:t xml:space="preserve">This Marketing Plan transcends standard international touring by embedding the Musician's brand within Beijing's cultural fabric. Success is defined not merely by ticket sales but by becoming a respected voice in China's evolving music narrative—one where global artistry meets local heritage. As Beijing accelerates its role as Asia's creative capital, this strategy positions the Musician to lead rather than follow, transforming passive consumers into active participants in a shared cultural dialogue. The roadmap ensures every dollar spent generates authentic engagement that resonates with Beijing's sophisticated audience while building sustainable growth for the Musician across China.</w:t>
      </w:r>
    </w:p>
    <w:p>
      <w:pPr>
        <w:pStyle w:val="BodyText"/>
      </w:pPr>
      <w:r>
        <w:t xml:space="preserve">Word Count: 856 | Marketing Plan Developed Exclusively for Beijing Cultural Context | Musician Integration Strategy Finalized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China Beijing</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