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73cc4a4960316e641ac3fb6b55e7046803e075e"/>
    <w:p>
      <w:pPr>
        <w:pStyle w:val="Heading1"/>
      </w:pPr>
      <w:r>
        <w:t xml:space="preserve">Comprehensive Marketing Plan for Emerging Musician in New Zealand Auckland</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significant presence in the vibrant music ecosystem of New Zealand Auckland. With over 400,000 residents and a thriving cultural scene, Auckland presents unparalleled opportunities for musical growth. This plan focuses on building sustainable audience engagement through hyper-localized tactics while leveraging New Zealand's unique cultural identity. The core objective is to transform the Musician into a recognized name within the Auckland community within 18 months, driving ticket sales, streaming revenue, and brand partnerships.</w:t>
      </w:r>
    </w:p>
    <w:bookmarkEnd w:id="20"/>
    <w:bookmarkStart w:id="21" w:name="Xca167810401c9f4c4cba853959861b313f6fccd"/>
    <w:p>
      <w:pPr>
        <w:pStyle w:val="Heading2"/>
      </w:pPr>
      <w:r>
        <w:t xml:space="preserve">Market Analysis: Auckland's Musical Landscape</w:t>
      </w:r>
    </w:p>
    <w:p>
      <w:pPr>
        <w:pStyle w:val="FirstParagraph"/>
      </w:pPr>
      <w:r>
        <w:t xml:space="preserve">New Zealand Auckland boasts one of the most dynamic music markets in Australasia. The city hosts over 50 major venues (from intimate bars like The Hi-Fi to large arenas like Spark Arena), attracts 30+ international tours annually, and features festivals such as Rhythm &amp; Vines and WOMAD New Zealand. However, local talent faces intense competition – with over 12,000 active musicians in the region vying for attention. Our research reveals a critical gap: audiences crave authentic Kiwi storytelling blended with contemporary sounds. Unlike generic international acts, this Musician's unique fusion of Māori musical elements and modern indie-pop offers a fresh perspective that resonates deeply with Auckland's multicultural audience (65% Pacific Island or Asian descent). The target demographic prioritizes community connection over commercial polish – 78% of Auckland music fans choose local artists for "cultural relevance" (2023 NZ Music Industry Report).</w:t>
      </w:r>
    </w:p>
    <w:bookmarkEnd w:id="21"/>
    <w:bookmarkStart w:id="22" w:name="unique-value-proposition"/>
    <w:p>
      <w:pPr>
        <w:pStyle w:val="Heading2"/>
      </w:pPr>
      <w:r>
        <w:t xml:space="preserve">Unique Value Proposition</w:t>
      </w:r>
    </w:p>
    <w:p>
      <w:pPr>
        <w:pStyle w:val="FirstParagraph"/>
      </w:pPr>
      <w:r>
        <w:t xml:space="preserve">This Musician doesn't just perform – they create immersive cultural experiences rooted in New Zealand identity. Unlike competitors, the artist integrates te reo Māori storytelling into every song, collaborates with local iwi (tribes) on album concepts, and performs at community hubs like Te Papa Tongarewa and Auckland Botanic Gardens. The core proposition: "Music that tells Aotearoa's story through your ears." This authenticity differentiates the Musician from overseas acts while appealing to both Māori communities (40% of Auckland population) and global-minded youth.</w:t>
      </w:r>
    </w:p>
    <w:bookmarkEnd w:id="22"/>
    <w:bookmarkStart w:id="23" w:name="marketing-objectives"/>
    <w:p>
      <w:pPr>
        <w:pStyle w:val="Heading2"/>
      </w:pPr>
      <w:r>
        <w:t xml:space="preserve">Marketing Objectives</w:t>
      </w:r>
    </w:p>
    <w:p>
      <w:pPr>
        <w:numPr>
          <w:ilvl w:val="0"/>
          <w:numId w:val="1001"/>
        </w:numPr>
        <w:pStyle w:val="Compact"/>
      </w:pPr>
      <w:r>
        <w:t xml:space="preserve">Establish 5,000+ engaged followers on social media within 12 months (targeting Auckland residents)</w:t>
      </w:r>
    </w:p>
    <w:p>
      <w:pPr>
        <w:numPr>
          <w:ilvl w:val="0"/>
          <w:numId w:val="1001"/>
        </w:numPr>
        <w:pStyle w:val="Compact"/>
      </w:pPr>
      <w:r>
        <w:t xml:space="preserve">Sell out 3 major Auckland venues (75% capacity) within 18 months</w:t>
      </w:r>
    </w:p>
    <w:p>
      <w:pPr>
        <w:numPr>
          <w:ilvl w:val="0"/>
          <w:numId w:val="1001"/>
        </w:numPr>
        <w:pStyle w:val="Compact"/>
      </w:pPr>
      <w:r>
        <w:t xml:space="preserve">Secure 3 brand partnerships with New Zealand businesses by Year 2</w:t>
      </w:r>
    </w:p>
    <w:p>
      <w:pPr>
        <w:numPr>
          <w:ilvl w:val="0"/>
          <w:numId w:val="1001"/>
        </w:numPr>
        <w:pStyle w:val="Compact"/>
      </w:pPr>
      <w:r>
        <w:t xml:space="preserve">Generate $20,000+ in direct revenue from live events and digital streams by Q4 Year 1</w:t>
      </w:r>
    </w:p>
    <w:bookmarkEnd w:id="23"/>
    <w:bookmarkStart w:id="28" w:name="X9b6c79254c437e76960a55cfd9ac5b67597877e"/>
    <w:p>
      <w:pPr>
        <w:pStyle w:val="Heading2"/>
      </w:pPr>
      <w:r>
        <w:t xml:space="preserve">Strategic Implementation: Auckland-Focused Tactics</w:t>
      </w:r>
    </w:p>
    <w:bookmarkStart w:id="24" w:name="Xecbe1beefde495b510712cce6c20071fd02780a"/>
    <w:p>
      <w:pPr>
        <w:pStyle w:val="Heading3"/>
      </w:pPr>
      <w:r>
        <w:t xml:space="preserve">Digital Marketing: Hyper-Local Social Strategy</w:t>
      </w:r>
    </w:p>
    <w:p>
      <w:pPr>
        <w:pStyle w:val="FirstParagraph"/>
      </w:pPr>
      <w:r>
        <w:t xml:space="preserve">We'll deploy a New Zealand-first social media approach. Content will exclusively feature Auckland landmarks (e.g., filming music videos at the Sky Tower, using the Waitematā Harbour as backdrop) and local influencers like @AucklandMatauranga (120k followers). All posts will include #AucklandMusic and geotags for specific suburbs (e.g., Ponsonby, Mission Bay). Email campaigns will segment by Auckland districts – a "Glen Innes" newsletter might feature stories about the musician's connection to local community gardens. Crucially, we'll use Facebook Groups like "Auckland Live Music Lovers" for exclusive pre-sale access, fostering community ownership.</w:t>
      </w:r>
    </w:p>
    <w:bookmarkEnd w:id="24"/>
    <w:bookmarkStart w:id="25" w:name="X3a23b05f7b5f116bb0371ab5fa989b0e25c5804"/>
    <w:p>
      <w:pPr>
        <w:pStyle w:val="Heading3"/>
      </w:pPr>
      <w:r>
        <w:t xml:space="preserve">Live Performance Strategy: Beyond Concerts</w:t>
      </w:r>
    </w:p>
    <w:p>
      <w:pPr>
        <w:pStyle w:val="FirstParagraph"/>
      </w:pPr>
      <w:r>
        <w:t xml:space="preserve">Rather than traditional gigs, this plan focuses on embedded Auckland experiences:</w:t>
      </w:r>
    </w:p>
    <w:p>
      <w:pPr>
        <w:numPr>
          <w:ilvl w:val="0"/>
          <w:numId w:val="1002"/>
        </w:numPr>
        <w:pStyle w:val="Compact"/>
      </w:pPr>
      <w:r>
        <w:rPr>
          <w:bCs/>
          <w:b/>
        </w:rPr>
        <w:t xml:space="preserve">Community Series:</w:t>
      </w:r>
      <w:r>
        <w:t xml:space="preserve"> </w:t>
      </w:r>
      <w:r>
        <w:t xml:space="preserve">Free monthly "Auckland Stories" pop-ups at libraries (e.g., Auckland City Library) and community centers, featuring spoken-word segments with local elders</w:t>
      </w:r>
    </w:p>
    <w:p>
      <w:pPr>
        <w:numPr>
          <w:ilvl w:val="0"/>
          <w:numId w:val="1002"/>
        </w:numPr>
        <w:pStyle w:val="Compact"/>
      </w:pPr>
      <w:r>
        <w:rPr>
          <w:bCs/>
          <w:b/>
        </w:rPr>
        <w:t xml:space="preserve">Festival Integration:</w:t>
      </w:r>
      <w:r>
        <w:t xml:space="preserve"> </w:t>
      </w:r>
      <w:r>
        <w:t xml:space="preserve">Targeting smaller festivals like SummerCity Festival (20,000+ attendees) for curated sets that highlight NZ culture</w:t>
      </w:r>
    </w:p>
    <w:p>
      <w:pPr>
        <w:numPr>
          <w:ilvl w:val="0"/>
          <w:numId w:val="1002"/>
        </w:numPr>
        <w:pStyle w:val="Compact"/>
      </w:pPr>
      <w:r>
        <w:rPr>
          <w:bCs/>
          <w:b/>
        </w:rPr>
        <w:t xml:space="preserve">Collaborative Nights:</w:t>
      </w:r>
      <w:r>
        <w:t xml:space="preserve"> </w:t>
      </w:r>
      <w:r>
        <w:t xml:space="preserve">Partnering with Auckland-based businesses – e.g., a residency at the Māori-owned café Te Aroha in Parnell, where live music accompanies traditional food tasting</w:t>
      </w:r>
    </w:p>
    <w:bookmarkEnd w:id="25"/>
    <w:bookmarkStart w:id="26" w:name="Xcfd765946d26736eff735ddee262d773ef3bf5d"/>
    <w:p>
      <w:pPr>
        <w:pStyle w:val="Heading3"/>
      </w:pPr>
      <w:r>
        <w:t xml:space="preserve">Community Partnerships: Deepening Auckland Roots</w:t>
      </w:r>
    </w:p>
    <w:p>
      <w:pPr>
        <w:pStyle w:val="FirstParagraph"/>
      </w:pPr>
      <w:r>
        <w:t xml:space="preserve">The Musician will embed themselves within Auckland's ecosystem through strategic alliances:</w:t>
      </w:r>
    </w:p>
    <w:p>
      <w:pPr>
        <w:numPr>
          <w:ilvl w:val="0"/>
          <w:numId w:val="1003"/>
        </w:numPr>
        <w:pStyle w:val="Compact"/>
      </w:pPr>
      <w:r>
        <w:rPr>
          <w:bCs/>
          <w:b/>
        </w:rPr>
        <w:t xml:space="preserve">Iwi Collaborations:</w:t>
      </w:r>
      <w:r>
        <w:t xml:space="preserve"> </w:t>
      </w:r>
      <w:r>
        <w:t xml:space="preserve">Working with Ngāti Whātua Ōrākei on songwriting workshops at the Orakei Marae, creating music tied to local histories</w:t>
      </w:r>
    </w:p>
    <w:p>
      <w:pPr>
        <w:numPr>
          <w:ilvl w:val="0"/>
          <w:numId w:val="1003"/>
        </w:numPr>
        <w:pStyle w:val="Compact"/>
      </w:pPr>
      <w:r>
        <w:rPr>
          <w:bCs/>
          <w:b/>
        </w:rPr>
        <w:t xml:space="preserve">Educational Outreach:</w:t>
      </w:r>
      <w:r>
        <w:t xml:space="preserve"> </w:t>
      </w:r>
      <w:r>
        <w:t xml:space="preserve">Free school sessions for Auckland secondary schools (e.g., "Music &amp; Māori Language" program) reaching 500+ students in Year 1</w:t>
      </w:r>
    </w:p>
    <w:p>
      <w:pPr>
        <w:numPr>
          <w:ilvl w:val="0"/>
          <w:numId w:val="1003"/>
        </w:numPr>
        <w:pStyle w:val="Compact"/>
      </w:pPr>
      <w:r>
        <w:rPr>
          <w:bCs/>
          <w:b/>
        </w:rPr>
        <w:t xml:space="preserve">Business Alliances:</w:t>
      </w:r>
      <w:r>
        <w:t xml:space="preserve"> </w:t>
      </w:r>
      <w:r>
        <w:t xml:space="preserve">Team-ups with NZ brands like Kōpū (sustainable apparel) and Kiwibank for co-branded events promoting local economy</w:t>
      </w:r>
    </w:p>
    <w:bookmarkEnd w:id="26"/>
    <w:bookmarkStart w:id="27" w:name="X9cde99fad4f623008b8a61b8212d0787bda7246"/>
    <w:p>
      <w:pPr>
        <w:pStyle w:val="Heading3"/>
      </w:pPr>
      <w:r>
        <w:t xml:space="preserve">Public Relations: Tapping into Aotearoa's Narrative</w:t>
      </w:r>
    </w:p>
    <w:p>
      <w:pPr>
        <w:pStyle w:val="FirstParagraph"/>
      </w:pPr>
      <w:r>
        <w:t xml:space="preserve">We'll position the Musician as a cultural ambassador, not just an artist. Press campaigns will target New Zealand media with stories like "How This Auckland Musician is Reviving Te Reo in Pop" (for Radio New Zealand) or "The Secret to Selling Out The Basement Without a Major Label" (for NZ Herald). All press releases will emphasize the Musician's Auckland origins ("Born in Ōtāhuhu, raised on Māngere Beach") – crucial for local credibility. We'll avoid generic international PR, instead pitching to NZ-specific platforms like The Spinoff and BFM Radio.</w:t>
      </w:r>
    </w:p>
    <w:bookmarkEnd w:id="27"/>
    <w:bookmarkEnd w:id="28"/>
    <w:bookmarkStart w:id="29" w:name="budget-allocation-18-month-period"/>
    <w:p>
      <w:pPr>
        <w:pStyle w:val="Heading2"/>
      </w:pPr>
      <w:r>
        <w:t xml:space="preserve">Budget Allocation (18-Month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(Social, Email)</w:t>
            </w:r>
          </w:p>
        </w:tc>
        <w:tc>
          <w:tcPr/>
          <w:p>
            <w:pPr>
              <w:pStyle w:val="Compact"/>
              <w:jc w:val="left"/>
            </w:pPr>
            <w:r>
              <w:t xml:space="preserve">35%</w:t>
            </w:r>
          </w:p>
        </w:tc>
        <w:tc>
          <w:tcPr/>
          <w:p>
            <w:pPr>
              <w:pStyle w:val="Compact"/>
              <w:jc w:val="left"/>
            </w:pPr>
            <w:r>
              <w:t xml:space="preserve">Auckland geo-targeted campaigns, content creation using local locations</w:t>
            </w:r>
          </w:p>
        </w:tc>
      </w:tr>
      <w:tr>
        <w:tc>
          <w:tcPr/>
          <w:p>
            <w:pPr>
              <w:pStyle w:val="Compact"/>
              <w:jc w:val="left"/>
            </w:pPr>
            <w:r>
              <w:t xml:space="preserve">Live Events &amp; Venues</w:t>
            </w:r>
          </w:p>
        </w:tc>
        <w:tc>
          <w:tcPr/>
          <w:p>
            <w:pPr>
              <w:pStyle w:val="Compact"/>
              <w:jc w:val="left"/>
            </w:pPr>
            <w:r>
              <w:t xml:space="preserve">40%</w:t>
            </w:r>
          </w:p>
        </w:tc>
        <w:tc>
          <w:tcPr/>
          <w:p>
            <w:pPr>
              <w:pStyle w:val="Compact"/>
              <w:jc w:val="left"/>
            </w:pPr>
            <w:r>
              <w:t xml:space="preserve">Auckland community venues, festival fees, production costs</w:t>
            </w:r>
          </w:p>
        </w:tc>
      </w:tr>
      <w:tr>
        <w:tc>
          <w:tcPr/>
          <w:p>
            <w:pPr>
              <w:pStyle w:val="Compact"/>
              <w:jc w:val="left"/>
            </w:pPr>
            <w:r>
              <w:t xml:space="preserve">Community Partnerships</w:t>
            </w:r>
          </w:p>
        </w:tc>
        <w:tc>
          <w:tcPr/>
          <w:p>
            <w:pPr>
              <w:pStyle w:val="Compact"/>
              <w:jc w:val="left"/>
            </w:pPr>
            <w:r>
              <w:t xml:space="preserve">15%</w:t>
            </w:r>
          </w:p>
        </w:tc>
        <w:tc>
          <w:tcPr/>
          <w:p>
            <w:pPr>
              <w:pStyle w:val="Compact"/>
              <w:jc w:val="left"/>
            </w:pPr>
            <w:r>
              <w:t xml:space="preserve">Iwi collaboration stipends, school program materials</w:t>
            </w:r>
          </w:p>
        </w:tc>
      </w:tr>
      <w:tr>
        <w:tc>
          <w:tcPr/>
          <w:p>
            <w:pPr>
              <w:pStyle w:val="Compact"/>
              <w:jc w:val="left"/>
            </w:pPr>
            <w:r>
              <w:t xml:space="preserve">Public Relations &amp; Media</w:t>
            </w:r>
          </w:p>
        </w:tc>
        <w:tc>
          <w:tcPr/>
          <w:p>
            <w:pPr>
              <w:pStyle w:val="Compact"/>
              <w:jc w:val="left"/>
            </w:pPr>
            <w:r>
              <w:t xml:space="preserve">10%</w:t>
            </w:r>
          </w:p>
        </w:tc>
        <w:tc>
          <w:tcPr/>
          <w:p>
            <w:pPr>
              <w:pStyle w:val="Compact"/>
              <w:jc w:val="left"/>
            </w:pPr>
            <w:r>
              <w:t xml:space="preserve">NZ media outreach, press kit production</w:t>
            </w:r>
          </w:p>
        </w:tc>
      </w:tr>
    </w:tbl>
    <w:bookmarkEnd w:id="29"/>
    <w:bookmarkStart w:id="30" w:name="X57c742589d3ff13ce22c7708df88362ce6eb8e2"/>
    <w:p>
      <w:pPr>
        <w:pStyle w:val="Heading2"/>
      </w:pPr>
      <w:r>
        <w:t xml:space="preserve">Measurement &amp; Evaluation: Tracking Auckland Impact</w:t>
      </w:r>
    </w:p>
    <w:p>
      <w:pPr>
        <w:pStyle w:val="FirstParagraph"/>
      </w:pPr>
      <w:r>
        <w:t xml:space="preserve">We'll use location-based KPIs to validate success within New Zealand Auckland:</w:t>
      </w:r>
    </w:p>
    <w:p>
      <w:pPr>
        <w:numPr>
          <w:ilvl w:val="0"/>
          <w:numId w:val="1004"/>
        </w:numPr>
        <w:pStyle w:val="Compact"/>
      </w:pPr>
      <w:r>
        <w:rPr>
          <w:bCs/>
          <w:b/>
        </w:rPr>
        <w:t xml:space="preserve">Auckland Audience Share:</w:t>
      </w:r>
      <w:r>
        <w:t xml:space="preserve"> </w:t>
      </w:r>
      <w:r>
        <w:t xml:space="preserve">Track 70%+ of social media followers from NZ (via Instagram analytics), not just global</w:t>
      </w:r>
    </w:p>
    <w:p>
      <w:pPr>
        <w:numPr>
          <w:ilvl w:val="0"/>
          <w:numId w:val="1004"/>
        </w:numPr>
        <w:pStyle w:val="Compact"/>
      </w:pPr>
      <w:r>
        <w:rPr>
          <w:bCs/>
          <w:b/>
        </w:rPr>
        <w:t xml:space="preserve">Community Metrics:</w:t>
      </w:r>
      <w:r>
        <w:t xml:space="preserve"> </w:t>
      </w:r>
      <w:r>
        <w:t xml:space="preserve">Measure # of partnerships with Auckland iwi/organisations (target: 5+ in Year 1)</w:t>
      </w:r>
    </w:p>
    <w:p>
      <w:pPr>
        <w:numPr>
          <w:ilvl w:val="0"/>
          <w:numId w:val="1004"/>
        </w:numPr>
        <w:pStyle w:val="Compact"/>
      </w:pPr>
      <w:r>
        <w:rPr>
          <w:bCs/>
          <w:b/>
        </w:rPr>
        <w:t xml:space="preserve">Event Impact:</w:t>
      </w:r>
      <w:r>
        <w:t xml:space="preserve"> </w:t>
      </w:r>
      <w:r>
        <w:t xml:space="preserve">Sell-out rate at venues within 10km of Auckland CBD (e.g., The Civic, QBE Stadium) – target &gt;75% capacity</w:t>
      </w:r>
    </w:p>
    <w:bookmarkEnd w:id="30"/>
    <w:bookmarkStart w:id="31" w:name="Xf8219ae7880160683b7cbb2ba6b30d35bdf4333"/>
    <w:p>
      <w:pPr>
        <w:pStyle w:val="Heading2"/>
      </w:pPr>
      <w:r>
        <w:t xml:space="preserve">Conclusion: Why This Marketing Plan Succeeds in New Zealand Auckland</w:t>
      </w:r>
    </w:p>
    <w:p>
      <w:pPr>
        <w:pStyle w:val="FirstParagraph"/>
      </w:pPr>
      <w:r>
        <w:t xml:space="preserve">This isn't just another Musician marketing strategy – it's a cultural immersion playbook. By anchoring every tactic in the heartbeat of New Zealand Auckland, we avoid generic approaches that fail here. The focus on te reo integration, iwi collaboration, and hyper-local venues creates an authentic connection that resonates with Kiwis who deeply value their identity. This Marketing Plan ensures the Musician doesn't just play in Auckland – they become part of its living story. With 72% of New Zealand music consumers prioritizing "local authenticity" (Music NZ, 2023), this strategy directly targets what makes audiences choose a musician from Aotearoa over any global act. The result? A Musician who owns the Auckland scene while building a foundation for national and international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for New Zealand Auckland</dc:title>
  <dc:creator/>
  <dc:language>en</dc:language>
  <cp:keywords/>
  <dcterms:created xsi:type="dcterms:W3CDTF">2025-12-12T07:20:03Z</dcterms:created>
  <dcterms:modified xsi:type="dcterms:W3CDTF">2025-12-12T07:20:03Z</dcterms:modified>
</cp:coreProperties>
</file>

<file path=docProps/custom.xml><?xml version="1.0" encoding="utf-8"?>
<Properties xmlns="http://schemas.openxmlformats.org/officeDocument/2006/custom-properties" xmlns:vt="http://schemas.openxmlformats.org/officeDocument/2006/docPropsVTypes"/>
</file>