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2" w:name="X5dd295caa261d2e5235923145ee4f4e970343b6"/>
    <w:p>
      <w:pPr>
        <w:pStyle w:val="Heading1"/>
      </w:pPr>
      <w:r>
        <w:t xml:space="preserve">Comprehensive Marketing Plan for Occupational Therapist Services in Australia Melbourne</w:t>
      </w:r>
    </w:p>
    <w:bookmarkStart w:id="20" w:name="executive-summary"/>
    <w:p>
      <w:pPr>
        <w:pStyle w:val="Heading2"/>
      </w:pPr>
      <w:r>
        <w:t xml:space="preserve">Executive Summary</w:t>
      </w:r>
    </w:p>
    <w:p>
      <w:pPr>
        <w:pStyle w:val="FirstParagraph"/>
      </w:pPr>
      <w:r>
        <w:t xml:space="preserve">This Marketing Plan outlines a strategic approach to establish and grow an occupational therapy practice within the competitive healthcare landscape of Australia Melbourne. As an Occupational Therapist (OT) serving Victoria's largest city, our mission is to enhance community wellbeing through personalized therapeutic interventions while positioning our practice as the preferred provider for rehabilitation, developmental support, and daily living independence. With Melbourne's aging population and rising demand for mental health services, this plan addresses a critical gap in accessible occupational therapy across metropolitan suburbs. Our strategy integrates digital engagement with community partnerships to achieve 25% market penetration within three years while maintaining Australia's highest clinical standards.</w:t>
      </w:r>
    </w:p>
    <w:bookmarkEnd w:id="20"/>
    <w:bookmarkStart w:id="21" w:name="X91796caa7e851cc7a77b91ca80a8f5b1365b0f4"/>
    <w:p>
      <w:pPr>
        <w:pStyle w:val="Heading2"/>
      </w:pPr>
      <w:r>
        <w:t xml:space="preserve">Situation Analysis: Occupational Therapy Market in Melbourne</w:t>
      </w:r>
    </w:p>
    <w:p>
      <w:pPr>
        <w:pStyle w:val="FirstParagraph"/>
      </w:pPr>
      <w:r>
        <w:t xml:space="preserve">Victoria's healthcare system reports a 34% increase in occupational therapy service requests since 2020, driven by Melbourne's growing elderly population (19.8% aged 65+), post-injury rehabilitation needs, and rising childhood neurodevelopmental diagnoses. However, current supply falls short: only 78 OTs per 100,000 residents in Melbourne compared to the national average of 85. This gap creates urgent opportunities for a specialized Occupational Therapist practice operating within Australia Melbourne's regulatory framework (AHPRA registration requirements). Key competitors include hospital-based services with long waitlists and private clinics lacking community integration. Our analysis reveals unmet demand in inner-city suburbs (Richmond, Fitzroy) and emerging growth corridors (Sunshine, Dandenong) where cultural diversity necessitates linguistically appropriate care.</w:t>
      </w:r>
    </w:p>
    <w:bookmarkEnd w:id="21"/>
    <w:bookmarkStart w:id="22" w:name="target-audience-segmentation"/>
    <w:p>
      <w:pPr>
        <w:pStyle w:val="Heading2"/>
      </w:pPr>
      <w:r>
        <w:t xml:space="preserve">Target Audience Segmentation</w:t>
      </w:r>
    </w:p>
    <w:p>
      <w:pPr>
        <w:pStyle w:val="FirstParagraph"/>
      </w:pPr>
      <w:r>
        <w:t xml:space="preserve">We've identified three core segments for our Melbourne-based Occupational Therapist practice:</w:t>
      </w:r>
    </w:p>
    <w:p>
      <w:pPr>
        <w:numPr>
          <w:ilvl w:val="0"/>
          <w:numId w:val="1001"/>
        </w:numPr>
        <w:pStyle w:val="Compact"/>
      </w:pPr>
      <w:r>
        <w:rPr>
          <w:bCs/>
          <w:b/>
        </w:rPr>
        <w:t xml:space="preserve">Elderly Population (45% of market):</w:t>
      </w:r>
      <w:r>
        <w:t xml:space="preserve"> </w:t>
      </w:r>
      <w:r>
        <w:t xml:space="preserve">Residents aged 65+ requiring home modification assessments, fall prevention programs, and dementia support. Prioritizing areas like Kew, Camberwell, and Bundoora where Medicare data shows 32% higher service utilization rates.</w:t>
      </w:r>
    </w:p>
    <w:p>
      <w:pPr>
        <w:numPr>
          <w:ilvl w:val="0"/>
          <w:numId w:val="1001"/>
        </w:numPr>
        <w:pStyle w:val="Compact"/>
      </w:pPr>
      <w:r>
        <w:rPr>
          <w:bCs/>
          <w:b/>
        </w:rPr>
        <w:t xml:space="preserve">Children &amp; Families (30%):</w:t>
      </w:r>
      <w:r>
        <w:t xml:space="preserve"> </w:t>
      </w:r>
      <w:r>
        <w:t xml:space="preserve">Parents seeking early intervention for developmental delays in children aged 0-12. High-demand suburbs include South Yarra and Oakleigh with specialist school partnerships.</w:t>
      </w:r>
    </w:p>
    <w:p>
      <w:pPr>
        <w:numPr>
          <w:ilvl w:val="0"/>
          <w:numId w:val="1001"/>
        </w:numPr>
        <w:pStyle w:val="Compact"/>
      </w:pPr>
      <w:r>
        <w:rPr>
          <w:bCs/>
          <w:b/>
        </w:rPr>
        <w:t xml:space="preserve">Workplace Rehabilitation (25%):</w:t>
      </w:r>
      <w:r>
        <w:t xml:space="preserve"> </w:t>
      </w:r>
      <w:r>
        <w:t xml:space="preserve">Businesses requiring injury management solutions under WorkCover Victoria. Targeting manufacturing hubs in Footscray and Port Melbourne where workplace injuries exceed state averages by 18%.</w:t>
      </w:r>
    </w:p>
    <w:bookmarkEnd w:id="22"/>
    <w:bookmarkStart w:id="23" w:name="marketing-objectives-year-1"/>
    <w:p>
      <w:pPr>
        <w:pStyle w:val="Heading2"/>
      </w:pPr>
      <w:r>
        <w:t xml:space="preserve">Marketing Objectives (Year 1)</w:t>
      </w:r>
    </w:p>
    <w:p>
      <w:pPr>
        <w:numPr>
          <w:ilvl w:val="0"/>
          <w:numId w:val="1002"/>
        </w:numPr>
        <w:pStyle w:val="Compact"/>
      </w:pPr>
      <w:r>
        <w:t xml:space="preserve">Achieve 400 active client cases through targeted outreach within Australia Melbourne, with at least 35% from new referrals</w:t>
      </w:r>
    </w:p>
    <w:p>
      <w:pPr>
        <w:numPr>
          <w:ilvl w:val="0"/>
          <w:numId w:val="1002"/>
        </w:numPr>
        <w:pStyle w:val="Compact"/>
      </w:pPr>
      <w:r>
        <w:t xml:space="preserve">Secure partnerships with 8 local schools, aged care facilities, and workplace safety providers across Melbourne metropolitan areas</w:t>
      </w:r>
    </w:p>
    <w:p>
      <w:pPr>
        <w:numPr>
          <w:ilvl w:val="0"/>
          <w:numId w:val="1002"/>
        </w:numPr>
        <w:pStyle w:val="Compact"/>
      </w:pPr>
      <w:r>
        <w:t xml:space="preserve">Attain 75% brand recognition among healthcare referral sources in Victoria through community engagement</w:t>
      </w:r>
    </w:p>
    <w:p>
      <w:pPr>
        <w:numPr>
          <w:ilvl w:val="0"/>
          <w:numId w:val="1002"/>
        </w:numPr>
        <w:pStyle w:val="Compact"/>
      </w:pPr>
      <w:r>
        <w:t xml:space="preserve">Maintain a 90% client satisfaction rate aligned with Australia's National Occupational Therapy Standards</w:t>
      </w:r>
    </w:p>
    <w:bookmarkEnd w:id="23"/>
    <w:bookmarkStart w:id="27" w:name="X36d3e164647c2dd7adeaa97af74470a22818a86"/>
    <w:p>
      <w:pPr>
        <w:pStyle w:val="Heading2"/>
      </w:pPr>
      <w:r>
        <w:t xml:space="preserve">Marketing Strategies &amp; Tactics for Melbourne Context</w:t>
      </w:r>
    </w:p>
    <w:p>
      <w:pPr>
        <w:pStyle w:val="FirstParagraph"/>
      </w:pPr>
      <w:r>
        <w:t xml:space="preserve">Our approach blends digital precision with hyper-local Melbourne engagement:</w:t>
      </w:r>
    </w:p>
    <w:bookmarkStart w:id="24" w:name="digital-marketing-ecosystem"/>
    <w:p>
      <w:pPr>
        <w:pStyle w:val="Heading3"/>
      </w:pPr>
      <w:r>
        <w:t xml:space="preserve">Digital Marketing Ecosystem</w:t>
      </w:r>
    </w:p>
    <w:p>
      <w:pPr>
        <w:pStyle w:val="FirstParagraph"/>
      </w:pPr>
      <w:r>
        <w:t xml:space="preserve">Leveraging Melbourne's tech-savvy demographics, we implement:</w:t>
      </w:r>
    </w:p>
    <w:p>
      <w:pPr>
        <w:numPr>
          <w:ilvl w:val="0"/>
          <w:numId w:val="1003"/>
        </w:numPr>
        <w:pStyle w:val="Compact"/>
      </w:pPr>
      <w:r>
        <w:rPr>
          <w:bCs/>
          <w:b/>
        </w:rPr>
        <w:t xml:space="preserve">Geo-targeted SEO:</w:t>
      </w:r>
      <w:r>
        <w:t xml:space="preserve"> </w:t>
      </w:r>
      <w:r>
        <w:t xml:space="preserve">Optimizing website content for "Occupational Therapist Melbourne [Suburb]" phrases with local schema markup to rank in Google Maps. Prioritizing keywords like "OT for stroke recovery Melbourne" and "child development OT Victoria."</w:t>
      </w:r>
    </w:p>
    <w:p>
      <w:pPr>
        <w:numPr>
          <w:ilvl w:val="0"/>
          <w:numId w:val="1003"/>
        </w:numPr>
        <w:pStyle w:val="Compact"/>
      </w:pPr>
      <w:r>
        <w:rPr>
          <w:bCs/>
          <w:b/>
        </w:rPr>
        <w:t xml:space="preserve">Community-Focused Social Media:</w:t>
      </w:r>
      <w:r>
        <w:t xml:space="preserve"> </w:t>
      </w:r>
      <w:r>
        <w:t xml:space="preserve">Weekly Instagram Reels demonstrating home exercise techniques tailored to Melbourne living (e.g., apartment-friendly stretches), using #MelbourneOT and #VictoriaHealth.</w:t>
      </w:r>
    </w:p>
    <w:p>
      <w:pPr>
        <w:numPr>
          <w:ilvl w:val="0"/>
          <w:numId w:val="1003"/>
        </w:numPr>
        <w:pStyle w:val="Compact"/>
      </w:pPr>
      <w:r>
        <w:rPr>
          <w:bCs/>
          <w:b/>
        </w:rPr>
        <w:t xml:space="preserve">Referral Portal:</w:t>
      </w:r>
      <w:r>
        <w:t xml:space="preserve"> </w:t>
      </w:r>
      <w:r>
        <w:t xml:space="preserve">Creating a secure online form for GPs, physiotherapists, and NDIS planners across Australia Melbourne with real-time appointment booking integrated into the My Health Record system.</w:t>
      </w:r>
    </w:p>
    <w:bookmarkEnd w:id="24"/>
    <w:bookmarkStart w:id="25" w:name="X5a30ed7a5c0b2bb7bdd05a7f44e4630b85292f4"/>
    <w:p>
      <w:pPr>
        <w:pStyle w:val="Heading3"/>
      </w:pPr>
      <w:r>
        <w:t xml:space="preserve">Community Integration (Critical for Melbourne Success)</w:t>
      </w:r>
    </w:p>
    <w:p>
      <w:pPr>
        <w:pStyle w:val="FirstParagraph"/>
      </w:pPr>
      <w:r>
        <w:t xml:space="preserve">Building trust through physical community presence:</w:t>
      </w:r>
    </w:p>
    <w:p>
      <w:pPr>
        <w:numPr>
          <w:ilvl w:val="0"/>
          <w:numId w:val="1004"/>
        </w:numPr>
        <w:pStyle w:val="Compact"/>
      </w:pPr>
      <w:r>
        <w:rPr>
          <w:bCs/>
          <w:b/>
        </w:rPr>
        <w:t xml:space="preserve">Free Workshop Series:</w:t>
      </w:r>
      <w:r>
        <w:t xml:space="preserve"> </w:t>
      </w:r>
      <w:r>
        <w:t xml:space="preserve">Hosting monthly "Daily Living Skills" sessions at public libraries in high-demand suburbs (e.g., Hawthorn Library, Dandenong Community Centre), covering topics like managing arthritis during Melbourne's variable weather.</w:t>
      </w:r>
    </w:p>
    <w:p>
      <w:pPr>
        <w:numPr>
          <w:ilvl w:val="0"/>
          <w:numId w:val="1004"/>
        </w:numPr>
        <w:pStyle w:val="Compact"/>
      </w:pPr>
      <w:r>
        <w:rPr>
          <w:bCs/>
          <w:b/>
        </w:rPr>
        <w:t xml:space="preserve">School Partnerships:</w:t>
      </w:r>
      <w:r>
        <w:t xml:space="preserve"> </w:t>
      </w:r>
      <w:r>
        <w:t xml:space="preserve">Collaborating with 10 Melbourne primary schools to provide teacher training on occupational therapy principles for neurodiverse students, funded through Victorian Department of Education grants.</w:t>
      </w:r>
    </w:p>
    <w:p>
      <w:pPr>
        <w:numPr>
          <w:ilvl w:val="0"/>
          <w:numId w:val="1004"/>
        </w:numPr>
        <w:pStyle w:val="Compact"/>
      </w:pPr>
      <w:r>
        <w:rPr>
          <w:bCs/>
          <w:b/>
        </w:rPr>
        <w:t xml:space="preserve">Cultural Outreach:</w:t>
      </w:r>
      <w:r>
        <w:t xml:space="preserve"> </w:t>
      </w:r>
      <w:r>
        <w:t xml:space="preserve">Partnering with community hubs like Chinatown Melbourne and Malvern Community Health to offer multilingual OT consultations (Mandarin, Arabic) addressing cultural barriers in healthcare access.</w:t>
      </w:r>
    </w:p>
    <w:bookmarkEnd w:id="25"/>
    <w:bookmarkStart w:id="26" w:name="professional-network-development"/>
    <w:p>
      <w:pPr>
        <w:pStyle w:val="Heading3"/>
      </w:pPr>
      <w:r>
        <w:t xml:space="preserve">Professional Network Development</w:t>
      </w:r>
    </w:p>
    <w:p>
      <w:pPr>
        <w:pStyle w:val="FirstParagraph"/>
      </w:pPr>
      <w:r>
        <w:t xml:space="preserve">Strengthening referral pathways within Australia's healthcare ecosystem:</w:t>
      </w:r>
    </w:p>
    <w:p>
      <w:pPr>
        <w:numPr>
          <w:ilvl w:val="0"/>
          <w:numId w:val="1005"/>
        </w:numPr>
        <w:pStyle w:val="Compact"/>
      </w:pPr>
      <w:r>
        <w:rPr>
          <w:bCs/>
          <w:b/>
        </w:rPr>
        <w:t xml:space="preserve">Medical Directory Listings:</w:t>
      </w:r>
      <w:r>
        <w:t xml:space="preserve"> </w:t>
      </w:r>
      <w:r>
        <w:t xml:space="preserve">Ensuring comprehensive presence in all Melbourne-specific platforms like HealthEngine and Best Doctors, with verified AHPRA credentials.</w:t>
      </w:r>
    </w:p>
    <w:p>
      <w:pPr>
        <w:numPr>
          <w:ilvl w:val="0"/>
          <w:numId w:val="1005"/>
        </w:numPr>
        <w:pStyle w:val="Compact"/>
      </w:pPr>
      <w:r>
        <w:rPr>
          <w:bCs/>
          <w:b/>
        </w:rPr>
        <w:t xml:space="preserve">National Association Engagement:</w:t>
      </w:r>
      <w:r>
        <w:t xml:space="preserve"> </w:t>
      </w:r>
      <w:r>
        <w:t xml:space="preserve">Active participation in Occupational Therapy Australia (OTA) Victoria chapter events to build credibility within the professional community.</w:t>
      </w:r>
    </w:p>
    <w:p>
      <w:pPr>
        <w:numPr>
          <w:ilvl w:val="0"/>
          <w:numId w:val="1005"/>
        </w:numPr>
        <w:pStyle w:val="Compact"/>
      </w:pPr>
      <w:r>
        <w:rPr>
          <w:bCs/>
          <w:b/>
        </w:rPr>
        <w:t xml:space="preserve">WorkCover Partnership:</w:t>
      </w:r>
      <w:r>
        <w:t xml:space="preserve"> </w:t>
      </w:r>
      <w:r>
        <w:t xml:space="preserve">Formalizing agreements with 5 major Melbourne workplaces for streamlined injury rehabilitation processes under Victoria's WorkSafe guidelines.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w:t>
            </w:r>
          </w:p>
        </w:tc>
        <w:tc>
          <w:tcPr/>
          <w:p>
            <w:pPr>
              <w:pStyle w:val="Compact"/>
              <w:jc w:val="left"/>
            </w:pPr>
            <w:r>
              <w:t xml:space="preserve">Specific Melbourne Focus</w:t>
            </w:r>
          </w:p>
        </w:tc>
      </w:tr>
      <w:tr>
        <w:tc>
          <w:tcPr/>
          <w:p>
            <w:pPr>
              <w:pStyle w:val="Compact"/>
              <w:jc w:val="left"/>
            </w:pPr>
            <w:r>
              <w:t xml:space="preserve">Digital Marketing (SEO, Ads)</w:t>
            </w:r>
          </w:p>
        </w:tc>
        <w:tc>
          <w:tcPr/>
          <w:p>
            <w:pPr>
              <w:pStyle w:val="Compact"/>
              <w:jc w:val="left"/>
            </w:pPr>
            <w:r>
              <w:t xml:space="preserve">35%</w:t>
            </w:r>
          </w:p>
        </w:tc>
        <w:tc>
          <w:tcPr/>
          <w:p>
            <w:pPr>
              <w:pStyle w:val="Compact"/>
              <w:jc w:val="left"/>
            </w:pPr>
            <w:r>
              <w:t xml:space="preserve">District-specific campaigns for 12 Melbourne suburbs</w:t>
            </w:r>
          </w:p>
        </w:tc>
      </w:tr>
      <w:tr>
        <w:tc>
          <w:tcPr/>
          <w:p>
            <w:pPr>
              <w:pStyle w:val="Compact"/>
              <w:jc w:val="left"/>
            </w:pPr>
            <w:r>
              <w:t xml:space="preserve">Community Events &amp; Partnerships</w:t>
            </w:r>
          </w:p>
        </w:tc>
        <w:tc>
          <w:tcPr/>
          <w:p>
            <w:pPr>
              <w:pStyle w:val="Compact"/>
              <w:jc w:val="left"/>
            </w:pPr>
            <w:r>
              <w:t xml:space="preserve">40%</w:t>
            </w:r>
          </w:p>
        </w:tc>
        <w:tc>
          <w:tcPr/>
          <w:p>
            <w:pPr>
              <w:pStyle w:val="Compact"/>
              <w:jc w:val="left"/>
            </w:pPr>
            <w:r>
              <w:t xml:space="preserve">Workshops at 24 community venues across Melbourne metro area</w:t>
            </w:r>
          </w:p>
        </w:tc>
      </w:tr>
      <w:tr>
        <w:tc>
          <w:tcPr/>
          <w:p>
            <w:pPr>
              <w:pStyle w:val="Compact"/>
              <w:jc w:val="left"/>
            </w:pPr>
            <w:r>
              <w:t xml:space="preserve">Professional Networking &amp; Materials</w:t>
            </w:r>
          </w:p>
        </w:tc>
        <w:tc>
          <w:tcPr/>
          <w:p>
            <w:pPr>
              <w:pStyle w:val="Compact"/>
              <w:jc w:val="left"/>
            </w:pPr>
            <w:r>
              <w:t xml:space="preserve">15%</w:t>
            </w:r>
          </w:p>
        </w:tc>
        <w:tc>
          <w:tcPr/>
          <w:p>
            <w:pPr>
              <w:pStyle w:val="Compact"/>
              <w:jc w:val="left"/>
            </w:pPr>
            <w:r>
              <w:t xml:space="preserve">OTA Victoria membership, referral kits for Melbourne clinics</w:t>
            </w:r>
          </w:p>
        </w:tc>
      </w:tr>
      <w:tr>
        <w:tc>
          <w:tcPr/>
          <w:p>
            <w:pPr>
              <w:pStyle w:val="Compact"/>
              <w:jc w:val="left"/>
            </w:pPr>
            <w:r>
              <w:t xml:space="preserve">Evaluation &amp; Analytics</w:t>
            </w:r>
          </w:p>
        </w:tc>
        <w:tc>
          <w:tcPr/>
          <w:p>
            <w:pPr>
              <w:pStyle w:val="Compact"/>
              <w:jc w:val="left"/>
            </w:pPr>
            <w:r>
              <w:t xml:space="preserve">10%</w:t>
            </w:r>
          </w:p>
        </w:tc>
        <w:tc>
          <w:tcPr/>
          <w:p>
            <w:pPr>
              <w:pStyle w:val="Compact"/>
              <w:jc w:val="left"/>
            </w:pPr>
            <w:r>
              <w:t xml:space="preserve">Melbourne-specific client journey tracking</w:t>
            </w:r>
          </w:p>
        </w:tc>
      </w:tr>
    </w:tbl>
    <w:bookmarkEnd w:id="28"/>
    <w:bookmarkStart w:id="29" w:name="X2686fbebbc07703ceb7a9744fbd96904b944adc"/>
    <w:p>
      <w:pPr>
        <w:pStyle w:val="Heading2"/>
      </w:pPr>
      <w:r>
        <w:t xml:space="preserve">Implementation Timeline (Q1-Q4 Melbourne Year 1)</w:t>
      </w:r>
    </w:p>
    <w:p>
      <w:pPr>
        <w:pStyle w:val="FirstParagraph"/>
      </w:pPr>
      <w:r>
        <w:rPr>
          <w:bCs/>
          <w:b/>
        </w:rPr>
        <w:t xml:space="preserve">Q1:</w:t>
      </w:r>
      <w:r>
        <w:t xml:space="preserve"> </w:t>
      </w:r>
      <w:r>
        <w:t xml:space="preserve">Finalize AHPRA registrations, establish digital infrastructure, secure first 3 school partnerships in inner-city Melbourne.</w:t>
      </w:r>
    </w:p>
    <w:p>
      <w:pPr>
        <w:pStyle w:val="BodyText"/>
      </w:pPr>
      <w:r>
        <w:rPr>
          <w:bCs/>
          <w:b/>
        </w:rPr>
        <w:t xml:space="preserve">Q2:</w:t>
      </w:r>
      <w:r>
        <w:t xml:space="preserve"> </w:t>
      </w:r>
      <w:r>
        <w:t xml:space="preserve">Launch SEO campaign targeting "OT near me" searches, begin free community workshops in Southbank and St Kilda.</w:t>
      </w:r>
    </w:p>
    <w:p>
      <w:pPr>
        <w:pStyle w:val="BodyText"/>
      </w:pPr>
      <w:r>
        <w:rPr>
          <w:bCs/>
          <w:b/>
        </w:rPr>
        <w:t xml:space="preserve">Q3:</w:t>
      </w:r>
      <w:r>
        <w:t xml:space="preserve"> </w:t>
      </w:r>
      <w:r>
        <w:t xml:space="preserve">Secure 5 workplace rehabilitation contracts (Footscray industrial zones), initiate multilingual outreach program.</w:t>
      </w:r>
    </w:p>
    <w:p>
      <w:pPr>
        <w:pStyle w:val="BodyText"/>
      </w:pPr>
      <w:r>
        <w:rPr>
          <w:bCs/>
          <w:b/>
        </w:rPr>
        <w:t xml:space="preserve">Q4:</w:t>
      </w:r>
      <w:r>
        <w:t xml:space="preserve"> </w:t>
      </w:r>
      <w:r>
        <w:t xml:space="preserve">Analyze client data across Melbourne suburbs, refine marketing based on regional demand patterns for Year 2 expansion.</w:t>
      </w:r>
    </w:p>
    <w:bookmarkEnd w:id="29"/>
    <w:bookmarkStart w:id="30" w:name="evaluation-framework"/>
    <w:p>
      <w:pPr>
        <w:pStyle w:val="Heading2"/>
      </w:pPr>
      <w:r>
        <w:t xml:space="preserve">Evaluation Framework</w:t>
      </w:r>
    </w:p>
    <w:p>
      <w:pPr>
        <w:pStyle w:val="FirstParagraph"/>
      </w:pPr>
      <w:r>
        <w:t xml:space="preserve">We measure success through both quantitative and qualitative metrics aligned with Australian healthcare standards:</w:t>
      </w:r>
    </w:p>
    <w:p>
      <w:pPr>
        <w:numPr>
          <w:ilvl w:val="0"/>
          <w:numId w:val="1006"/>
        </w:numPr>
        <w:pStyle w:val="Compact"/>
      </w:pPr>
      <w:r>
        <w:rPr>
          <w:bCs/>
          <w:b/>
        </w:rPr>
        <w:t xml:space="preserve">Client Acquisition Rate:</w:t>
      </w:r>
      <w:r>
        <w:t xml:space="preserve"> </w:t>
      </w:r>
      <w:r>
        <w:t xml:space="preserve">Tracking new client sources (e.g., 45% from community events vs. 30% from online searches) across Melbourne suburbs</w:t>
      </w:r>
    </w:p>
    <w:p>
      <w:pPr>
        <w:numPr>
          <w:ilvl w:val="0"/>
          <w:numId w:val="1006"/>
        </w:numPr>
        <w:pStyle w:val="Compact"/>
      </w:pPr>
      <w:r>
        <w:rPr>
          <w:bCs/>
          <w:b/>
        </w:rPr>
        <w:t xml:space="preserve">Community Impact:</w:t>
      </w:r>
      <w:r>
        <w:t xml:space="preserve"> </w:t>
      </w:r>
      <w:r>
        <w:t xml:space="preserve">Measuring workshop attendance diversity (target: 60% non-English speaking residents in target areas)</w:t>
      </w:r>
    </w:p>
    <w:p>
      <w:pPr>
        <w:numPr>
          <w:ilvl w:val="0"/>
          <w:numId w:val="1006"/>
        </w:numPr>
        <w:pStyle w:val="Compact"/>
      </w:pPr>
      <w:r>
        <w:rPr>
          <w:bCs/>
          <w:b/>
        </w:rPr>
        <w:t xml:space="preserve">Professional Recognition:</w:t>
      </w:r>
      <w:r>
        <w:t xml:space="preserve"> </w:t>
      </w:r>
      <w:r>
        <w:t xml:space="preserve">Monitoring referral volume from GPs and allied health professionals within Victoria's healthcare network</w:t>
      </w:r>
    </w:p>
    <w:p>
      <w:pPr>
        <w:numPr>
          <w:ilvl w:val="0"/>
          <w:numId w:val="1006"/>
        </w:numPr>
        <w:pStyle w:val="Compact"/>
      </w:pPr>
      <w:r>
        <w:rPr>
          <w:bCs/>
          <w:b/>
        </w:rPr>
        <w:t xml:space="preserve">Satisfaction Metrics:</w:t>
      </w:r>
      <w:r>
        <w:t xml:space="preserve"> </w:t>
      </w:r>
      <w:r>
        <w:t xml:space="preserve">Utilizing Australian-specific OT client satisfaction surveys (e.g., OTSAQ-5) with 90% target rate</w:t>
      </w:r>
    </w:p>
    <w:bookmarkEnd w:id="30"/>
    <w:bookmarkStart w:id="31" w:name="X9fd142d37a6f0d10b922256fced8840ef8bbdc7"/>
    <w:p>
      <w:pPr>
        <w:pStyle w:val="Heading2"/>
      </w:pPr>
      <w:r>
        <w:t xml:space="preserve">Conclusion: Melbourne-First Occupational Therapy Leadership</w:t>
      </w:r>
    </w:p>
    <w:p>
      <w:pPr>
        <w:pStyle w:val="FirstParagraph"/>
      </w:pPr>
      <w:r>
        <w:t xml:space="preserve">This Marketing Plan positions our Occupational Therapist practice to become synonymous with accessible, culturally responsive care within Australia Melbourne's healthcare ecosystem. By deeply embedding our services in the fabric of Melbourne communities—addressing specific local challenges like apartment living for seniors or school integration for neurodiverse children—we transform from service provider to community health partner. The success of this plan will be measured not just by growth metrics, but by tangible improvements in daily life independence across Melbourne's diverse neighborhoods. As occupational therapy continues to evolve within Australia's healthcare priorities, our Melbourne-focused approach ensures we lead in delivering evidence-based solutions where they're needed most.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Australia Melbourne</dc:title>
  <dc:creator/>
  <dc:language>en</dc:language>
  <cp:keywords/>
  <dcterms:created xsi:type="dcterms:W3CDTF">2026-07-21T10:41:44Z</dcterms:created>
  <dcterms:modified xsi:type="dcterms:W3CDTF">2026-07-21T10:41:44Z</dcterms:modified>
</cp:coreProperties>
</file>

<file path=docProps/custom.xml><?xml version="1.0" encoding="utf-8"?>
<Properties xmlns="http://schemas.openxmlformats.org/officeDocument/2006/custom-properties" xmlns:vt="http://schemas.openxmlformats.org/officeDocument/2006/docPropsVTypes"/>
</file>