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3" w:name="Xda5f045ef14676f71c810daab301e7c2129b15c"/>
    <w:p>
      <w:pPr>
        <w:pStyle w:val="Heading1"/>
      </w:pPr>
      <w:r>
        <w:t xml:space="preserve">Strategic Marketing Plan for Occupational Therapist Services in Medellín, Colombia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Occupational Therapist (OT) services across Medellín, Colombia. Recognizing the city's evolving healthcare landscape and unmet needs in rehabilitation and functional independence, this plan positions the Occupational Therapist as an essential healthcare partner within Colombia Medellín's community ecosystem. With Medellín's population exceeding 2.5 million and rising demand for specialized care post-pandemic, strategic marketing will address critical gaps in accessibility, awareness, and service integration for OTs.</w:t>
      </w:r>
    </w:p>
    <w:bookmarkEnd w:id="20"/>
    <w:bookmarkStart w:id="21" w:name="Xfe9d6a1362dcf581bc1ff3c4f62f81936d85d0f"/>
    <w:p>
      <w:pPr>
        <w:pStyle w:val="Heading2"/>
      </w:pPr>
      <w:r>
        <w:t xml:space="preserve">Market Analysis: Occupational Therapist Landscape in Colombia Medellín</w:t>
      </w:r>
    </w:p>
    <w:p>
      <w:pPr>
        <w:pStyle w:val="FirstParagraph"/>
      </w:pPr>
      <w:r>
        <w:t xml:space="preserve">Colombia's healthcare system faces significant challenges in rehabilitation services. According to the National Department of Statistics (DANE), over 3.5 million Colombians live with disabilities, yet access to specialized Occupational Therapy remains fragmented, particularly outside major urban centers. In Medellín—Colombia’s second-largest city—the demand for OT services is acute due to:</w:t>
      </w:r>
    </w:p>
    <w:p>
      <w:pPr>
        <w:numPr>
          <w:ilvl w:val="0"/>
          <w:numId w:val="1001"/>
        </w:numPr>
        <w:pStyle w:val="Compact"/>
      </w:pPr>
      <w:r>
        <w:rPr>
          <w:bCs/>
          <w:b/>
        </w:rPr>
        <w:t xml:space="preserve">Urban Demographics:</w:t>
      </w:r>
      <w:r>
        <w:t xml:space="preserve"> </w:t>
      </w:r>
      <w:r>
        <w:t xml:space="preserve">High population density combined with socioeconomic diversity creates varied needs (e.g., elderly care in Comunas, workplace injuries in industrial zones).</w:t>
      </w:r>
    </w:p>
    <w:p>
      <w:pPr>
        <w:numPr>
          <w:ilvl w:val="0"/>
          <w:numId w:val="1001"/>
        </w:numPr>
        <w:pStyle w:val="Compact"/>
      </w:pPr>
      <w:r>
        <w:rPr>
          <w:bCs/>
          <w:b/>
        </w:rPr>
        <w:t xml:space="preserve">Public Health Initiatives:</w:t>
      </w:r>
      <w:r>
        <w:t xml:space="preserve"> </w:t>
      </w:r>
      <w:r>
        <w:t xml:space="preserve">Medellín’s "Modelo de Salud" integrates community-based care, creating opportunities for OTs to collaborate with municipal health networks.</w:t>
      </w:r>
    </w:p>
    <w:p>
      <w:pPr>
        <w:numPr>
          <w:ilvl w:val="0"/>
          <w:numId w:val="1001"/>
        </w:numPr>
        <w:pStyle w:val="Compact"/>
      </w:pPr>
      <w:r>
        <w:rPr>
          <w:bCs/>
          <w:b/>
        </w:rPr>
        <w:t xml:space="preserve">Gaps in Service:</w:t>
      </w:r>
      <w:r>
        <w:t xml:space="preserve"> </w:t>
      </w:r>
      <w:r>
        <w:t xml:space="preserve">Only 15% of clinics in Medellín offer dedicated OT services, per the Colombian Occupational Therapy Association (ACOT).</w:t>
      </w:r>
    </w:p>
    <w:bookmarkEnd w:id="21"/>
    <w:bookmarkStart w:id="22" w:name="target-audience-segmentation"/>
    <w:p>
      <w:pPr>
        <w:pStyle w:val="Heading2"/>
      </w:pPr>
      <w:r>
        <w:t xml:space="preserve">Target Audience Segmentation</w:t>
      </w:r>
    </w:p>
    <w:p>
      <w:pPr>
        <w:pStyle w:val="FirstParagraph"/>
      </w:pPr>
      <w:r>
        <w:t xml:space="preserve">Our strategy prioritizes three high-impact segments within Colombia Medellín:</w:t>
      </w:r>
    </w:p>
    <w:p>
      <w:pPr>
        <w:numPr>
          <w:ilvl w:val="0"/>
          <w:numId w:val="1002"/>
        </w:numPr>
        <w:pStyle w:val="Compact"/>
      </w:pPr>
      <w:r>
        <w:rPr>
          <w:bCs/>
          <w:b/>
        </w:rPr>
        <w:t xml:space="preserve">Patient Population:</w:t>
      </w:r>
      <w:r>
        <w:t xml:space="preserve"> </w:t>
      </w:r>
      <w:r>
        <w:t xml:space="preserve">Seniors with arthritis (18% of Medellín’s population over 65), stroke survivors, and individuals with chronic pain from occupational injuries in manufacturing/transport.</w:t>
      </w:r>
    </w:p>
    <w:p>
      <w:pPr>
        <w:numPr>
          <w:ilvl w:val="0"/>
          <w:numId w:val="1002"/>
        </w:numPr>
        <w:pStyle w:val="Compact"/>
      </w:pPr>
      <w:r>
        <w:rPr>
          <w:bCs/>
          <w:b/>
        </w:rPr>
        <w:t xml:space="preserve">Healthcare Institutions:</w:t>
      </w:r>
      <w:r>
        <w:t xml:space="preserve"> </w:t>
      </w:r>
      <w:r>
        <w:t xml:space="preserve">Public hospitals (e.g., Hospital Universitario San Vicente Fundación), private clinics seeking to expand rehabilitation departments, and schools requiring school-based OT services.</w:t>
      </w:r>
    </w:p>
    <w:p>
      <w:pPr>
        <w:numPr>
          <w:ilvl w:val="0"/>
          <w:numId w:val="1002"/>
        </w:numPr>
        <w:pStyle w:val="Compact"/>
      </w:pPr>
      <w:r>
        <w:rPr>
          <w:bCs/>
          <w:b/>
        </w:rPr>
        <w:t xml:space="preserve">Corporate Partners:</w:t>
      </w:r>
      <w:r>
        <w:t xml:space="preserve"> </w:t>
      </w:r>
      <w:r>
        <w:t xml:space="preserve">Industrial parks in Medellín (e.g., Parque Tecnológico) needing workplace ergonomics assessments to reduce injury rates.</w:t>
      </w:r>
    </w:p>
    <w:bookmarkEnd w:id="22"/>
    <w:bookmarkStart w:id="23" w:name="competitive-differentiation"/>
    <w:p>
      <w:pPr>
        <w:pStyle w:val="Heading2"/>
      </w:pPr>
      <w:r>
        <w:t xml:space="preserve">Competitive Differentiation</w:t>
      </w:r>
    </w:p>
    <w:p>
      <w:pPr>
        <w:pStyle w:val="FirstParagraph"/>
      </w:pPr>
      <w:r>
        <w:t xml:space="preserve">The key differentiator for OT services in Medellín is **cultural and contextual relevance**. While competitors offer generic rehabilitation, our approach integrates:</w:t>
      </w:r>
    </w:p>
    <w:p>
      <w:pPr>
        <w:numPr>
          <w:ilvl w:val="0"/>
          <w:numId w:val="1003"/>
        </w:numPr>
        <w:pStyle w:val="Compact"/>
      </w:pPr>
      <w:r>
        <w:rPr>
          <w:bCs/>
          <w:b/>
        </w:rPr>
        <w:t xml:space="preserve">Local Community Engagement:</w:t>
      </w:r>
      <w:r>
        <w:t xml:space="preserve"> </w:t>
      </w:r>
      <w:r>
        <w:t xml:space="preserve">Partnerships with neighborhood associations (Comunas) to host free "Functional Mobility Workshops" addressing daily challenges like navigating Medellín’s uneven streets.</w:t>
      </w:r>
    </w:p>
    <w:p>
      <w:pPr>
        <w:numPr>
          <w:ilvl w:val="0"/>
          <w:numId w:val="1003"/>
        </w:numPr>
        <w:pStyle w:val="Compact"/>
      </w:pPr>
      <w:r>
        <w:rPr>
          <w:bCs/>
          <w:b/>
        </w:rPr>
        <w:t xml:space="preserve">Technology Integration:</w:t>
      </w:r>
      <w:r>
        <w:t xml:space="preserve"> </w:t>
      </w:r>
      <w:r>
        <w:t xml:space="preserve">A mobile app for remote OT check-ins, tailored for Medellín’s high smartphone penetration (85% in urban areas).</w:t>
      </w:r>
    </w:p>
    <w:p>
      <w:pPr>
        <w:numPr>
          <w:ilvl w:val="0"/>
          <w:numId w:val="1003"/>
        </w:numPr>
        <w:pStyle w:val="Compact"/>
      </w:pPr>
      <w:r>
        <w:rPr>
          <w:bCs/>
          <w:b/>
        </w:rPr>
        <w:t xml:space="preserve">Multilingual Support:</w:t>
      </w:r>
      <w:r>
        <w:t xml:space="preserve"> </w:t>
      </w:r>
      <w:r>
        <w:t xml:space="preserve">Services in Spanish and local indigenous languages (e.g., U’wa) for rural-adjacent communities.</w:t>
      </w:r>
    </w:p>
    <w:bookmarkEnd w:id="23"/>
    <w:bookmarkStart w:id="28" w:name="marketing-strategy-tactics"/>
    <w:p>
      <w:pPr>
        <w:pStyle w:val="Heading2"/>
      </w:pPr>
      <w:r>
        <w:t xml:space="preserve">Marketing Strategy &amp; Tactics</w:t>
      </w:r>
    </w:p>
    <w:p>
      <w:pPr>
        <w:pStyle w:val="FirstParagraph"/>
      </w:pPr>
      <w:r>
        <w:t xml:space="preserve">This Marketing Plan employs a 4P framework adapted to Colombia Medellín’s realities:</w:t>
      </w:r>
    </w:p>
    <w:bookmarkStart w:id="24" w:name="product"/>
    <w:p>
      <w:pPr>
        <w:pStyle w:val="Heading3"/>
      </w:pPr>
      <w:r>
        <w:t xml:space="preserve">Product</w:t>
      </w:r>
    </w:p>
    <w:p>
      <w:pPr>
        <w:pStyle w:val="FirstParagraph"/>
      </w:pPr>
      <w:r>
        <w:t xml:space="preserve">Beyond standard OT services, we offer:</w:t>
      </w:r>
      <w:r>
        <w:t xml:space="preserve"> </w:t>
      </w:r>
      <w:r>
        <w:t xml:space="preserve">• "Medellín Mobility Kits" (low-cost adaptive tools for home use)</w:t>
      </w:r>
      <w:r>
        <w:t xml:space="preserve"> </w:t>
      </w:r>
      <w:r>
        <w:t xml:space="preserve">• Specialized programs for informal economy workers (e.g., street vendors with hand injuries)</w:t>
      </w:r>
    </w:p>
    <w:bookmarkEnd w:id="24"/>
    <w:bookmarkStart w:id="25" w:name="pricing"/>
    <w:p>
      <w:pPr>
        <w:pStyle w:val="Heading3"/>
      </w:pPr>
      <w:r>
        <w:t xml:space="preserve">Pricing</w:t>
      </w:r>
    </w:p>
    <w:p>
      <w:pPr>
        <w:pStyle w:val="FirstParagraph"/>
      </w:pPr>
      <w:r>
        <w:t xml:space="preserve">Transparent tiered pricing aligned with Colombia’s healthcare norms:</w:t>
      </w:r>
      <w:r>
        <w:t xml:space="preserve"> </w:t>
      </w:r>
      <w:r>
        <w:t xml:space="preserve">• Public sector: Subsidized rates through municipal health contracts (80% of fees covered)</w:t>
      </w:r>
      <w:r>
        <w:t xml:space="preserve"> </w:t>
      </w:r>
      <w:r>
        <w:t xml:space="preserve">• Private clients: Pay-as-you-go packages starting at COP 50,000/session (competitive vs. average COP 75,000)</w:t>
      </w:r>
    </w:p>
    <w:bookmarkEnd w:id="25"/>
    <w:bookmarkStart w:id="26" w:name="place"/>
    <w:p>
      <w:pPr>
        <w:pStyle w:val="Heading3"/>
      </w:pPr>
      <w:r>
        <w:t xml:space="preserve">Place</w:t>
      </w:r>
    </w:p>
    <w:p>
      <w:pPr>
        <w:pStyle w:val="FirstParagraph"/>
      </w:pPr>
      <w:r>
        <w:t xml:space="preserve">Distribution channels optimized for Medellín accessibility:</w:t>
      </w:r>
      <w:r>
        <w:t xml:space="preserve"> </w:t>
      </w:r>
      <w:r>
        <w:t xml:space="preserve">• Physical Hubs: Clinics in strategic zones (El Poblado for affluent areas, Comuna 13 for underserved communities)</w:t>
      </w:r>
      <w:r>
        <w:t xml:space="preserve"> </w:t>
      </w:r>
      <w:r>
        <w:t xml:space="preserve">• Telehealth Platform: Integrated with Colombia’s National Health Service (EPS) digital infrastructure</w:t>
      </w:r>
      <w:r>
        <w:t xml:space="preserve"> </w:t>
      </w:r>
      <w:r>
        <w:t xml:space="preserve">• Pop-Up Units: Mobile OT vans visiting public parks and markets on weekends</w:t>
      </w:r>
    </w:p>
    <w:bookmarkEnd w:id="26"/>
    <w:bookmarkStart w:id="27" w:name="promotion"/>
    <w:p>
      <w:pPr>
        <w:pStyle w:val="Heading3"/>
      </w:pPr>
      <w:r>
        <w:t xml:space="preserve">Promotion</w:t>
      </w:r>
    </w:p>
    <w:p>
      <w:pPr>
        <w:pStyle w:val="FirstParagraph"/>
      </w:pPr>
      <w:r>
        <w:t xml:space="preserve">Hyper-localized campaigns targeting Colombia Medellín:</w:t>
      </w:r>
    </w:p>
    <w:p>
      <w:pPr>
        <w:numPr>
          <w:ilvl w:val="0"/>
          <w:numId w:val="1004"/>
        </w:numPr>
        <w:pStyle w:val="Compact"/>
      </w:pPr>
      <w:r>
        <w:rPr>
          <w:bCs/>
          <w:b/>
        </w:rPr>
        <w:t xml:space="preserve">Content Marketing:</w:t>
      </w:r>
      <w:r>
        <w:t xml:space="preserve"> </w:t>
      </w:r>
      <w:r>
        <w:t xml:space="preserve">"OT in Medellín" YouTube series featuring local success stories (e.g., a baker regaining hand function post-injury).</w:t>
      </w:r>
    </w:p>
    <w:p>
      <w:pPr>
        <w:numPr>
          <w:ilvl w:val="0"/>
          <w:numId w:val="1004"/>
        </w:numPr>
        <w:pStyle w:val="Compact"/>
      </w:pPr>
      <w:r>
        <w:rPr>
          <w:bCs/>
          <w:b/>
        </w:rPr>
        <w:t xml:space="preserve">Social Media:</w:t>
      </w:r>
      <w:r>
        <w:t xml:space="preserve"> </w:t>
      </w:r>
      <w:r>
        <w:t xml:space="preserve">Facebook/Instagram campaigns targeting neighborhoods with geotags (e.g., #TerapiasOcupacionalesMedellin) using Colombian influencers.</w:t>
      </w:r>
    </w:p>
    <w:p>
      <w:pPr>
        <w:numPr>
          <w:ilvl w:val="0"/>
          <w:numId w:val="1004"/>
        </w:numPr>
        <w:pStyle w:val="Compact"/>
      </w:pPr>
      <w:r>
        <w:rPr>
          <w:bCs/>
          <w:b/>
        </w:rPr>
        <w:t xml:space="preserve">Community Events:</w:t>
      </w:r>
      <w:r>
        <w:t xml:space="preserve"> </w:t>
      </w:r>
      <w:r>
        <w:t xml:space="preserve">Sponsorship of Medellín’s annual "Festival de la Salud" with free OT screenings.</w:t>
      </w:r>
    </w:p>
    <w:p>
      <w:pPr>
        <w:numPr>
          <w:ilvl w:val="0"/>
          <w:numId w:val="1004"/>
        </w:numPr>
        <w:pStyle w:val="Compact"/>
      </w:pPr>
      <w:r>
        <w:rPr>
          <w:bCs/>
          <w:b/>
        </w:rPr>
        <w:t xml:space="preserve">B2B Partnerships:</w:t>
      </w:r>
      <w:r>
        <w:t xml:space="preserve"> </w:t>
      </w:r>
      <w:r>
        <w:t xml:space="preserve">Co-branded workshops with Medellín Chamber of Commerce on workplace safety.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w:t>
            </w:r>
          </w:p>
        </w:tc>
        <w:tc>
          <w:tcPr/>
          <w:p>
            <w:pPr>
              <w:pStyle w:val="Compact"/>
              <w:jc w:val="left"/>
            </w:pPr>
            <w:r>
              <w:t xml:space="preserve">Location Focus (Medellín)</w:t>
            </w:r>
          </w:p>
        </w:tc>
      </w:tr>
      <w:tr>
        <w:tc>
          <w:tcPr/>
          <w:p>
            <w:pPr>
              <w:pStyle w:val="Compact"/>
              <w:jc w:val="left"/>
            </w:pPr>
            <w:r>
              <w:t xml:space="preserve">Q1 2024</w:t>
            </w:r>
          </w:p>
        </w:tc>
        <w:tc>
          <w:tcPr/>
          <w:p>
            <w:pPr>
              <w:pStyle w:val="Compact"/>
              <w:jc w:val="left"/>
            </w:pPr>
            <w:r>
              <w:t xml:space="preserve">Lay groundwork: Secure partnerships with 3 public clinics and deploy mobile app MVP</w:t>
            </w:r>
          </w:p>
        </w:tc>
        <w:tc>
          <w:tcPr/>
          <w:p>
            <w:pPr>
              <w:pStyle w:val="Compact"/>
              <w:jc w:val="left"/>
            </w:pPr>
            <w:r>
              <w:t xml:space="preserve">Poblado, Centro</w:t>
            </w:r>
          </w:p>
        </w:tc>
      </w:tr>
      <w:tr>
        <w:tc>
          <w:tcPr/>
          <w:p>
            <w:pPr>
              <w:pStyle w:val="Compact"/>
              <w:jc w:val="left"/>
            </w:pPr>
            <w:r>
              <w:t xml:space="preserve">Q2 2024</w:t>
            </w:r>
          </w:p>
        </w:tc>
        <w:tc>
          <w:tcPr/>
          <w:p>
            <w:pPr>
              <w:pStyle w:val="Compact"/>
              <w:jc w:val="left"/>
            </w:pPr>
            <w:r>
              <w:t xml:space="preserve">Launch community workshops in Comuna 13 and Laureles-Estadio</w:t>
            </w:r>
          </w:p>
        </w:tc>
        <w:tc>
          <w:tcPr/>
          <w:p>
            <w:pPr>
              <w:pStyle w:val="Compact"/>
              <w:jc w:val="left"/>
            </w:pPr>
            <w:r>
              <w:t xml:space="preserve">Comuna 13, Laureles-Estadio</w:t>
            </w:r>
          </w:p>
        </w:tc>
      </w:tr>
      <w:tr>
        <w:tc>
          <w:tcPr/>
          <w:p>
            <w:pPr>
              <w:pStyle w:val="Compact"/>
              <w:jc w:val="left"/>
            </w:pPr>
            <w:r>
              <w:t xml:space="preserve">Q3 2024</w:t>
            </w:r>
          </w:p>
        </w:tc>
        <w:tc>
          <w:tcPr/>
          <w:p>
            <w:pPr>
              <w:pStyle w:val="Compact"/>
              <w:jc w:val="left"/>
            </w:pPr>
            <w:r>
              <w:t xml:space="preserve">Sponsor Medellín Health Festival; initiate corporate contracts with industrial parks</w:t>
            </w:r>
          </w:p>
        </w:tc>
        <w:tc>
          <w:tcPr/>
          <w:p>
            <w:pPr>
              <w:pStyle w:val="Compact"/>
              <w:jc w:val="left"/>
            </w:pPr>
            <w:r>
              <w:t xml:space="preserve">Ciudad de los Deportes, Parque Tecnológico</w:t>
            </w:r>
          </w:p>
        </w:tc>
      </w:tr>
      <w:tr>
        <w:tc>
          <w:tcPr/>
          <w:p>
            <w:pPr>
              <w:pStyle w:val="Compact"/>
              <w:jc w:val="left"/>
            </w:pPr>
            <w:r>
              <w:t xml:space="preserve">Q4 2024</w:t>
            </w:r>
          </w:p>
        </w:tc>
        <w:tc>
          <w:tcPr/>
          <w:p>
            <w:pPr>
              <w:pStyle w:val="Compact"/>
              <w:jc w:val="left"/>
            </w:pPr>
            <w:r>
              <w:t xml:space="preserve">Evaluate metrics; expand to 5 additional neighborhood hubs based on demand data</w:t>
            </w:r>
          </w:p>
        </w:tc>
        <w:tc>
          <w:tcPr/>
          <w:p>
            <w:pPr>
              <w:pStyle w:val="Compact"/>
              <w:jc w:val="left"/>
            </w:pPr>
            <w:r>
              <w:t xml:space="preserve">Comuna 1, San Javier</w:t>
            </w:r>
          </w:p>
        </w:tc>
      </w:tr>
    </w:tbl>
    <w:bookmarkEnd w:id="29"/>
    <w:bookmarkStart w:id="30" w:name="budget-allocation-first-year"/>
    <w:p>
      <w:pPr>
        <w:pStyle w:val="Heading2"/>
      </w:pPr>
      <w:r>
        <w:t xml:space="preserve">Budget Allocation (First Year)</w:t>
      </w:r>
    </w:p>
    <w:p>
      <w:pPr>
        <w:pStyle w:val="FirstParagraph"/>
      </w:pPr>
      <w:r>
        <w:t xml:space="preserve">Total Investment: COP 850 million (approx. $190,000 USD)</w:t>
      </w:r>
    </w:p>
    <w:p>
      <w:pPr>
        <w:numPr>
          <w:ilvl w:val="0"/>
          <w:numId w:val="1005"/>
        </w:numPr>
        <w:pStyle w:val="Compact"/>
      </w:pPr>
      <w:r>
        <w:t xml:space="preserve">45% Digital Marketing &amp; App Development</w:t>
      </w:r>
    </w:p>
    <w:p>
      <w:pPr>
        <w:numPr>
          <w:ilvl w:val="0"/>
          <w:numId w:val="1005"/>
        </w:numPr>
        <w:pStyle w:val="Compact"/>
      </w:pPr>
      <w:r>
        <w:t xml:space="preserve">30% Community Engagement Events</w:t>
      </w:r>
    </w:p>
    <w:p>
      <w:pPr>
        <w:numPr>
          <w:ilvl w:val="0"/>
          <w:numId w:val="1005"/>
        </w:numPr>
        <w:pStyle w:val="Compact"/>
      </w:pPr>
      <w:r>
        <w:t xml:space="preserve">15% Partnership Development (Healthcare Institutions)</w:t>
      </w:r>
    </w:p>
    <w:p>
      <w:pPr>
        <w:numPr>
          <w:ilvl w:val="0"/>
          <w:numId w:val="1005"/>
        </w:numPr>
        <w:pStyle w:val="Compact"/>
      </w:pPr>
      <w:r>
        <w:t xml:space="preserve">10% Operational Costs (Mobile Units, Materials)</w:t>
      </w:r>
    </w:p>
    <w:bookmarkEnd w:id="30"/>
    <w:bookmarkStart w:id="31" w:name="kpis-success-metrics"/>
    <w:p>
      <w:pPr>
        <w:pStyle w:val="Heading2"/>
      </w:pPr>
      <w:r>
        <w:t xml:space="preserve">KPIs &amp; Success Metrics</w:t>
      </w:r>
    </w:p>
    <w:p>
      <w:pPr>
        <w:pStyle w:val="FirstParagraph"/>
      </w:pPr>
      <w:r>
        <w:t xml:space="preserve">We will measure success through Colombia Medellín-specific indicators:</w:t>
      </w:r>
    </w:p>
    <w:p>
      <w:pPr>
        <w:numPr>
          <w:ilvl w:val="0"/>
          <w:numId w:val="1006"/>
        </w:numPr>
        <w:pStyle w:val="Compact"/>
      </w:pPr>
      <w:r>
        <w:t xml:space="preserve">Service Utilization: 500+ new clients in Year 1 (vs. industry avg. of 300)</w:t>
      </w:r>
    </w:p>
    <w:p>
      <w:pPr>
        <w:numPr>
          <w:ilvl w:val="0"/>
          <w:numId w:val="1006"/>
        </w:numPr>
        <w:pStyle w:val="Compact"/>
      </w:pPr>
      <w:r>
        <w:t xml:space="preserve">Community Reach: 15+ workshops conducted across all Comunas</w:t>
      </w:r>
    </w:p>
    <w:p>
      <w:pPr>
        <w:numPr>
          <w:ilvl w:val="0"/>
          <w:numId w:val="1006"/>
        </w:numPr>
        <w:pStyle w:val="Compact"/>
      </w:pPr>
      <w:r>
        <w:t xml:space="preserve">Partnership Growth: Secure contracts with 8 public/private healthcare entities</w:t>
      </w:r>
    </w:p>
    <w:p>
      <w:pPr>
        <w:numPr>
          <w:ilvl w:val="0"/>
          <w:numId w:val="1006"/>
        </w:numPr>
        <w:pStyle w:val="Compact"/>
      </w:pPr>
      <w:r>
        <w:t xml:space="preserve">Brand Awareness: 65% recognition in target neighborhoods (measured via local surveys)</w:t>
      </w:r>
    </w:p>
    <w:bookmarkEnd w:id="31"/>
    <w:bookmarkStart w:id="32" w:name="Xd087ea4c2f92466a420d176dd398d3bf9eba524"/>
    <w:p>
      <w:pPr>
        <w:pStyle w:val="Heading2"/>
      </w:pPr>
      <w:r>
        <w:t xml:space="preserve">Conclusion: Positioning the Occupational Therapist as Essential</w:t>
      </w:r>
    </w:p>
    <w:p>
      <w:pPr>
        <w:pStyle w:val="FirstParagraph"/>
      </w:pPr>
      <w:r>
        <w:t xml:space="preserve">This Marketing Plan strategically positions the Occupational Therapist as a catalyst for functional independence within Colombia Medellín’s unique urban fabric. By embedding services into community life—not just clinical settings—we address systemic gaps in healthcare access while respecting Medellín’s cultural identity. As Colombia advances toward universal health coverage, OTs in Medellín will transition from being viewed as "niche providers" to indispensable partners in building a more resilient, capable city. This plan ensures that every Marketing Plan initiative directly serves the needs of the Occupational Therapist profession and the people of Colombia Medellín.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Medellín, Colombia</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