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b0ce3d24308ca124383fa9358ccb2d590469945"/>
    <w:p>
      <w:pPr>
        <w:pStyle w:val="Heading1"/>
      </w:pPr>
      <w:r>
        <w:t xml:space="preserve">Comprehensive Marketing Plan for Occupational Therapist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Occupational Therapist (OT) services in Yangon, Myanmar. Recognizing the critical gap in rehabilitation healthcare within Southeast Asia's second-largest city, this plan targets underserved populations requiring specialized occupational therapy interventions. With Yangon's growing middle class and increasing awareness of neurological and developmental conditions, our OT practice will position itself as the premier provider through culturally tailored care, strategic community engagement, and sustainable pricing models. The 12-month implementation framework prioritizes accessibility, cultural sensitivity, and measurable growth within Myanmar Yangon's healthcare ecosystem.</w:t>
      </w:r>
    </w:p>
    <w:bookmarkEnd w:id="20"/>
    <w:bookmarkStart w:id="21" w:name="market-analysis-yangon-context"/>
    <w:p>
      <w:pPr>
        <w:pStyle w:val="Heading2"/>
      </w:pPr>
      <w:r>
        <w:t xml:space="preserve">Market Analysis: Yangon Context</w:t>
      </w:r>
    </w:p>
    <w:p>
      <w:pPr>
        <w:pStyle w:val="FirstParagraph"/>
      </w:pPr>
      <w:r>
        <w:t xml:space="preserve">Myanmar Yangon presents unique opportunities for Occupational Therapist services due to limited existing infrastructure. According to the Myanmar Ministry of Health (2023), less than 5% of rehabilitation facilities offer formal OT services, creating significant unmet demand for conditions like stroke recovery, pediatric developmental delays, and workplace injury rehabilitation. The city's rapidly aging population (14% over 60) and rising road traffic accidents compound this need. Cultural factors are critical: Yangon families prioritize holistic care involving extended family networks, and traditional healing practices often precede Western medical interventions. Our Marketing Plan addresses these nuances by integrating OT with community-based support systems rather than operating in isolation.</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within Myanmar Yangon:</w:t>
      </w:r>
    </w:p>
    <w:p>
      <w:pPr>
        <w:numPr>
          <w:ilvl w:val="0"/>
          <w:numId w:val="1001"/>
        </w:numPr>
        <w:pStyle w:val="Compact"/>
      </w:pPr>
      <w:r>
        <w:rPr>
          <w:bCs/>
          <w:b/>
        </w:rPr>
        <w:t xml:space="preserve">Urban Families (35-45 years):</w:t>
      </w:r>
      <w:r>
        <w:t xml:space="preserve"> </w:t>
      </w:r>
      <w:r>
        <w:t xml:space="preserve">Middle-income households seeking pediatric OT for autism, cerebral palsy, or school readiness challenges. They prioritize trust in therapists who understand Burmese cultural values.</w:t>
      </w:r>
    </w:p>
    <w:p>
      <w:pPr>
        <w:numPr>
          <w:ilvl w:val="0"/>
          <w:numId w:val="1001"/>
        </w:numPr>
        <w:pStyle w:val="Compact"/>
      </w:pPr>
      <w:r>
        <w:rPr>
          <w:bCs/>
          <w:b/>
        </w:rPr>
        <w:t xml:space="preserve">Elderly Population (60+ years):</w:t>
      </w:r>
      <w:r>
        <w:t xml:space="preserve"> </w:t>
      </w:r>
      <w:r>
        <w:t xml:space="preserve">Stroke survivors requiring home-based rehabilitation to maintain independence. This group is highly influenced by community health workers and religious leaders.</w:t>
      </w:r>
    </w:p>
    <w:p>
      <w:pPr>
        <w:numPr>
          <w:ilvl w:val="0"/>
          <w:numId w:val="1001"/>
        </w:numPr>
        <w:pStyle w:val="Compact"/>
      </w:pPr>
      <w:r>
        <w:rPr>
          <w:bCs/>
          <w:b/>
        </w:rPr>
        <w:t xml:space="preserve">Corporate Partners:</w:t>
      </w:r>
      <w:r>
        <w:t xml:space="preserve"> </w:t>
      </w:r>
      <w:r>
        <w:t xml:space="preserve">Multinational companies in Yangon's business districts seeking workplace injury rehabilitation programs to reduce absenteeism.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brand recognition among target families in Yangon's Bahan, Hlaing Tharyar, and South Okkalapa townships within 9 months.</w:t>
      </w:r>
    </w:p>
    <w:p>
      <w:pPr>
        <w:numPr>
          <w:ilvl w:val="0"/>
          <w:numId w:val="1002"/>
        </w:numPr>
        <w:pStyle w:val="Compact"/>
      </w:pPr>
      <w:r>
        <w:t xml:space="preserve">Acquire 150 active clients through community partnerships by Month 6.</w:t>
      </w:r>
    </w:p>
    <w:p>
      <w:pPr>
        <w:numPr>
          <w:ilvl w:val="0"/>
          <w:numId w:val="1002"/>
        </w:numPr>
        <w:pStyle w:val="Compact"/>
      </w:pPr>
      <w:r>
        <w:t xml:space="preserve">Establish referral agreements with 8 key hospitals (including Yangon General Hospital) and 3 private clinics by Month 4.</w:t>
      </w:r>
    </w:p>
    <w:bookmarkEnd w:id="23"/>
    <w:bookmarkStart w:id="28" w:name="strategic-marketing-mix-the-4ps"/>
    <w:p>
      <w:pPr>
        <w:pStyle w:val="Heading2"/>
      </w:pPr>
      <w:r>
        <w:t xml:space="preserve">Strategic Marketing Mix: The 4Ps</w:t>
      </w:r>
    </w:p>
    <w:bookmarkStart w:id="24" w:name="product-culturally-adapted-ot-services"/>
    <w:p>
      <w:pPr>
        <w:pStyle w:val="Heading3"/>
      </w:pPr>
      <w:r>
        <w:t xml:space="preserve">Product: Culturally Adapted OT Services</w:t>
      </w:r>
    </w:p>
    <w:p>
      <w:pPr>
        <w:pStyle w:val="FirstParagraph"/>
      </w:pPr>
      <w:r>
        <w:t xml:space="preserve">We offer three core service lines designed for Yangon's context:</w:t>
      </w:r>
    </w:p>
    <w:p>
      <w:pPr>
        <w:numPr>
          <w:ilvl w:val="0"/>
          <w:numId w:val="1003"/>
        </w:numPr>
        <w:pStyle w:val="Compact"/>
      </w:pPr>
      <w:r>
        <w:rPr>
          <w:iCs/>
          <w:i/>
        </w:rPr>
        <w:t xml:space="preserve">Pediatric Developmental Therapy:</w:t>
      </w:r>
      <w:r>
        <w:t xml:space="preserve"> </w:t>
      </w:r>
      <w:r>
        <w:t xml:space="preserve">Home-based sessions using locally relevant play activities (e.g., traditional Burmese games) to teach motor skills.</w:t>
      </w:r>
    </w:p>
    <w:p>
      <w:pPr>
        <w:numPr>
          <w:ilvl w:val="0"/>
          <w:numId w:val="1003"/>
        </w:numPr>
        <w:pStyle w:val="Compact"/>
      </w:pPr>
      <w:r>
        <w:rPr>
          <w:iCs/>
          <w:i/>
        </w:rPr>
        <w:t xml:space="preserve">Stroke &amp; Aging Rehabilitation:</w:t>
      </w:r>
      <w:r>
        <w:t xml:space="preserve"> </w:t>
      </w:r>
      <w:r>
        <w:t xml:space="preserve">"Family-Centered Care" model where caregivers learn therapy techniques during sessions, reducing home-care costs.</w:t>
      </w:r>
    </w:p>
    <w:p>
      <w:pPr>
        <w:numPr>
          <w:ilvl w:val="0"/>
          <w:numId w:val="1003"/>
        </w:numPr>
        <w:pStyle w:val="Compact"/>
      </w:pPr>
      <w:r>
        <w:rPr>
          <w:iCs/>
          <w:i/>
        </w:rPr>
        <w:t xml:space="preserve">Workplace Injury Programs:</w:t>
      </w:r>
      <w:r>
        <w:t xml:space="preserve"> </w:t>
      </w:r>
      <w:r>
        <w:t xml:space="preserve">Customized ergonomic assessments for Yangon's garment factories and construction sites.</w:t>
      </w:r>
    </w:p>
    <w:p>
      <w:pPr>
        <w:pStyle w:val="FirstParagraph"/>
      </w:pPr>
      <w:r>
        <w:t xml:space="preserve">All services integrate Myanmar cultural practices (e.g., incorporating Buddhist mindfulness techniques for stress management) to enhance trust and adherence.</w:t>
      </w:r>
    </w:p>
    <w:bookmarkEnd w:id="24"/>
    <w:bookmarkStart w:id="25" w:name="X4fc7f739c73fa0c88e12866a74f0c978e0174ad"/>
    <w:p>
      <w:pPr>
        <w:pStyle w:val="Heading3"/>
      </w:pPr>
      <w:r>
        <w:t xml:space="preserve">Pricing Strategy: Tiered Affordability Model</w:t>
      </w:r>
    </w:p>
    <w:p>
      <w:pPr>
        <w:pStyle w:val="FirstParagraph"/>
      </w:pPr>
      <w:r>
        <w:t xml:space="preserve">Addressing Yangon's economic realities through:</w:t>
      </w:r>
    </w:p>
    <w:p>
      <w:pPr>
        <w:numPr>
          <w:ilvl w:val="0"/>
          <w:numId w:val="1004"/>
        </w:numPr>
        <w:pStyle w:val="Compact"/>
      </w:pPr>
      <w:r>
        <w:rPr>
          <w:iCs/>
          <w:i/>
        </w:rPr>
        <w:t xml:space="preserve">Sliding Scale Fees:</w:t>
      </w:r>
      <w:r>
        <w:t xml:space="preserve"> </w:t>
      </w:r>
      <w:r>
        <w:t xml:space="preserve">Based on family income (10% discount for low-income households supported by NGO partnerships).</w:t>
      </w:r>
    </w:p>
    <w:p>
      <w:pPr>
        <w:numPr>
          <w:ilvl w:val="0"/>
          <w:numId w:val="1004"/>
        </w:numPr>
        <w:pStyle w:val="Compact"/>
      </w:pPr>
      <w:r>
        <w:rPr>
          <w:iCs/>
          <w:i/>
        </w:rPr>
        <w:t xml:space="preserve">Clinic Package Deals:</w:t>
      </w:r>
      <w:r>
        <w:t xml:space="preserve"> </w:t>
      </w:r>
      <w:r>
        <w:t xml:space="preserve">5-session bundles at 15% discount, reducing financial barriers.</w:t>
      </w:r>
    </w:p>
    <w:p>
      <w:pPr>
        <w:numPr>
          <w:ilvl w:val="0"/>
          <w:numId w:val="1004"/>
        </w:numPr>
        <w:pStyle w:val="Compact"/>
      </w:pPr>
      <w:r>
        <w:rPr>
          <w:iCs/>
          <w:i/>
        </w:rPr>
        <w:t xml:space="preserve">Corporate Contracts:</w:t>
      </w:r>
      <w:r>
        <w:t xml:space="preserve"> </w:t>
      </w:r>
      <w:r>
        <w:t xml:space="preserve">Fixed-rate per employee for workplace programs (USD $80/session), appealing to Yangon businesses seeking ROI on health initiatives.</w:t>
      </w:r>
    </w:p>
    <w:bookmarkEnd w:id="25"/>
    <w:bookmarkStart w:id="26" w:name="distribution-community-centric-access"/>
    <w:p>
      <w:pPr>
        <w:pStyle w:val="Heading3"/>
      </w:pPr>
      <w:r>
        <w:t xml:space="preserve">Distribution: Community-Centric Access</w:t>
      </w:r>
    </w:p>
    <w:p>
      <w:pPr>
        <w:pStyle w:val="FirstParagraph"/>
      </w:pPr>
      <w:r>
        <w:t xml:space="preserve">Rather than relying solely on clinics, we deploy a mobile OT model:</w:t>
      </w:r>
    </w:p>
    <w:p>
      <w:pPr>
        <w:numPr>
          <w:ilvl w:val="0"/>
          <w:numId w:val="1005"/>
        </w:numPr>
        <w:pStyle w:val="Compact"/>
      </w:pPr>
      <w:r>
        <w:t xml:space="preserve">Primary service locations: Partnered community centers in Hlaing Tharyar and Mingaladon (high-density residential areas).</w:t>
      </w:r>
    </w:p>
    <w:p>
      <w:pPr>
        <w:numPr>
          <w:ilvl w:val="0"/>
          <w:numId w:val="1005"/>
        </w:numPr>
        <w:pStyle w:val="Compact"/>
      </w:pPr>
      <w:r>
        <w:t xml:space="preserve">Home visits within 5km radius of Yangon's city center for elderly and pediatric clients.</w:t>
      </w:r>
    </w:p>
    <w:p>
      <w:pPr>
        <w:numPr>
          <w:ilvl w:val="0"/>
          <w:numId w:val="1005"/>
        </w:numPr>
        <w:pStyle w:val="Compact"/>
      </w:pPr>
      <w:r>
        <w:t xml:space="preserve">Digital portal for appointment booking via popular Myanmar apps (Line, Facebook) to overcome digital literacy challenges.</w:t>
      </w:r>
    </w:p>
    <w:bookmarkEnd w:id="26"/>
    <w:bookmarkStart w:id="27" w:name="Xfe4b1aa4996567fdb2cc4c4dcb8b7948018fa5f"/>
    <w:p>
      <w:pPr>
        <w:pStyle w:val="Heading3"/>
      </w:pPr>
      <w:r>
        <w:t xml:space="preserve">Promotion: Trust-Building Community Engagement</w:t>
      </w:r>
    </w:p>
    <w:p>
      <w:pPr>
        <w:pStyle w:val="FirstParagraph"/>
      </w:pPr>
      <w:r>
        <w:t xml:space="preserve">Our promotion strategy avoids Western-style advertising and focuses on relationship-based outreach:</w:t>
      </w:r>
    </w:p>
    <w:p>
      <w:pPr>
        <w:numPr>
          <w:ilvl w:val="0"/>
          <w:numId w:val="1006"/>
        </w:numPr>
        <w:pStyle w:val="Compact"/>
      </w:pPr>
      <w:r>
        <w:rPr>
          <w:iCs/>
          <w:i/>
        </w:rPr>
        <w:t xml:space="preserve">Healthcare Ambassador Network:</w:t>
      </w:r>
      <w:r>
        <w:t xml:space="preserve"> </w:t>
      </w:r>
      <w:r>
        <w:t xml:space="preserve">Training respected community leaders (e.g., Buddhist monks, village health workers) to refer clients and explain OT benefits in local language.</w:t>
      </w:r>
    </w:p>
    <w:p>
      <w:pPr>
        <w:numPr>
          <w:ilvl w:val="0"/>
          <w:numId w:val="1006"/>
        </w:numPr>
        <w:pStyle w:val="Compact"/>
      </w:pPr>
      <w:r>
        <w:rPr>
          <w:iCs/>
          <w:i/>
        </w:rPr>
        <w:t xml:space="preserve">Cultural Partnership Campaigns:</w:t>
      </w:r>
      <w:r>
        <w:t xml:space="preserve"> </w:t>
      </w:r>
      <w:r>
        <w:t xml:space="preserve">Co-hosting free "Wellness Sundays" at Yangon's Sule Pagoda with traditional medicine practitioners to introduce holistic care concepts.</w:t>
      </w:r>
    </w:p>
    <w:p>
      <w:pPr>
        <w:numPr>
          <w:ilvl w:val="0"/>
          <w:numId w:val="1006"/>
        </w:numPr>
        <w:pStyle w:val="Compact"/>
      </w:pPr>
      <w:r>
        <w:rPr>
          <w:iCs/>
          <w:i/>
        </w:rPr>
        <w:t xml:space="preserve">Testimonial-Driven Content:</w:t>
      </w:r>
      <w:r>
        <w:t xml:space="preserve"> </w:t>
      </w:r>
      <w:r>
        <w:t xml:space="preserve">Sharing video success stories (with family consent) in Burmese via Facebook, reaching 50K+ Yangon users monthly.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Hire 2 Burmese-speaking OTs; finalize partnerships with 3 community centers in Yangon.</w:t>
            </w:r>
          </w:p>
        </w:tc>
      </w:tr>
      <w:tr>
        <w:tc>
          <w:tcPr/>
          <w:p>
            <w:pPr>
              <w:pStyle w:val="Compact"/>
              <w:jc w:val="left"/>
            </w:pPr>
            <w:r>
              <w:t xml:space="preserve">3-4</w:t>
            </w:r>
          </w:p>
        </w:tc>
        <w:tc>
          <w:tcPr/>
          <w:p>
            <w:pPr>
              <w:pStyle w:val="Compact"/>
              <w:jc w:val="left"/>
            </w:pPr>
            <w:r>
              <w:t xml:space="preserve">Launch ambassador program; secure hospital referral agreements; begin free wellness events.</w:t>
            </w:r>
          </w:p>
        </w:tc>
      </w:tr>
      <w:tr>
        <w:tc>
          <w:tcPr/>
          <w:p>
            <w:pPr>
              <w:pStyle w:val="Compact"/>
              <w:jc w:val="left"/>
            </w:pPr>
            <w:r>
              <w:t xml:space="preserve">5-8</w:t>
            </w:r>
          </w:p>
        </w:tc>
        <w:tc>
          <w:tcPr/>
          <w:p>
            <w:pPr>
              <w:pStyle w:val="Compact"/>
              <w:jc w:val="left"/>
            </w:pPr>
            <w:r>
              <w:t xml:space="preserve">Scale mobile services; implement digital booking system; initiate corporate contracts.</w:t>
            </w:r>
          </w:p>
        </w:tc>
      </w:tr>
      <w:tr>
        <w:tc>
          <w:tcPr/>
          <w:p>
            <w:pPr>
              <w:pStyle w:val="Compact"/>
              <w:jc w:val="left"/>
            </w:pPr>
            <w:r>
              <w:t xml:space="preserve">9-12</w:t>
            </w:r>
          </w:p>
        </w:tc>
        <w:tc>
          <w:tcPr/>
          <w:p>
            <w:pPr>
              <w:pStyle w:val="Compact"/>
              <w:jc w:val="left"/>
            </w:pPr>
            <w:r>
              <w:t xml:space="preserve">Evaluate client retention; expand to 2 new townships (Pabedan, Lanmadaw); publish annual impact report.</w:t>
            </w:r>
          </w:p>
        </w:tc>
      </w:tr>
    </w:tbl>
    <w:bookmarkEnd w:id="29"/>
    <w:bookmarkStart w:id="30" w:name="budget-allocation-total-usd-45000"/>
    <w:p>
      <w:pPr>
        <w:pStyle w:val="Heading2"/>
      </w:pPr>
      <w:r>
        <w:t xml:space="preserve">Budget Allocation (Total: USD $45,000)</w:t>
      </w:r>
    </w:p>
    <w:p>
      <w:pPr>
        <w:numPr>
          <w:ilvl w:val="0"/>
          <w:numId w:val="1007"/>
        </w:numPr>
        <w:pStyle w:val="Compact"/>
      </w:pPr>
      <w:r>
        <w:t xml:space="preserve">Community Outreach &amp; Training: 35% ($15,750)</w:t>
      </w:r>
    </w:p>
    <w:p>
      <w:pPr>
        <w:numPr>
          <w:ilvl w:val="0"/>
          <w:numId w:val="1007"/>
        </w:numPr>
        <w:pStyle w:val="Compact"/>
      </w:pPr>
      <w:r>
        <w:t xml:space="preserve">Mobile Service Operations (transport, equipment): 30% ($13,500)</w:t>
      </w:r>
    </w:p>
    <w:p>
      <w:pPr>
        <w:numPr>
          <w:ilvl w:val="0"/>
          <w:numId w:val="1007"/>
        </w:numPr>
        <w:pStyle w:val="Compact"/>
      </w:pPr>
      <w:r>
        <w:t xml:space="preserve">Digital Marketing &amp; Content: 20% ($9,000)</w:t>
      </w:r>
    </w:p>
    <w:p>
      <w:pPr>
        <w:numPr>
          <w:ilvl w:val="0"/>
          <w:numId w:val="1007"/>
        </w:numPr>
        <w:pStyle w:val="Compact"/>
      </w:pPr>
      <w:r>
        <w:t xml:space="preserve">Partnership Development: 15% ($6,750)</w:t>
      </w:r>
    </w:p>
    <w:bookmarkEnd w:id="30"/>
    <w:bookmarkStart w:id="31" w:name="evaluation-framework"/>
    <w:p>
      <w:pPr>
        <w:pStyle w:val="Heading2"/>
      </w:pPr>
      <w:r>
        <w:t xml:space="preserve">Evaluation Framework</w:t>
      </w:r>
    </w:p>
    <w:p>
      <w:pPr>
        <w:pStyle w:val="FirstParagraph"/>
      </w:pPr>
      <w:r>
        <w:t xml:space="preserve">We measure success through both quantitative and community-centric metrics:</w:t>
      </w:r>
    </w:p>
    <w:p>
      <w:pPr>
        <w:numPr>
          <w:ilvl w:val="0"/>
          <w:numId w:val="1008"/>
        </w:numPr>
        <w:pStyle w:val="Compact"/>
      </w:pPr>
      <w:r>
        <w:rPr>
          <w:iCs/>
          <w:i/>
        </w:rPr>
        <w:t xml:space="preserve">Service Impact:</w:t>
      </w:r>
      <w:r>
        <w:t xml:space="preserve"> </w:t>
      </w:r>
      <w:r>
        <w:t xml:space="preserve">Pre/post-therapy assessments tracking client independence (e.g., ability to self-feed, manage household tasks).</w:t>
      </w:r>
    </w:p>
    <w:p>
      <w:pPr>
        <w:numPr>
          <w:ilvl w:val="0"/>
          <w:numId w:val="1008"/>
        </w:numPr>
        <w:pStyle w:val="Compact"/>
      </w:pPr>
      <w:r>
        <w:rPr>
          <w:iCs/>
          <w:i/>
        </w:rPr>
        <w:t xml:space="preserve">Community Trust Score:</w:t>
      </w:r>
      <w:r>
        <w:t xml:space="preserve"> </w:t>
      </w:r>
      <w:r>
        <w:t xml:space="preserve">Quarterly surveys measuring referral rates from cultural ambassadors.</w:t>
      </w:r>
    </w:p>
    <w:p>
      <w:pPr>
        <w:numPr>
          <w:ilvl w:val="0"/>
          <w:numId w:val="1008"/>
        </w:numPr>
        <w:pStyle w:val="Compact"/>
      </w:pPr>
      <w:r>
        <w:rPr>
          <w:iCs/>
          <w:i/>
        </w:rPr>
        <w:t xml:space="preserve">Economic Viability:</w:t>
      </w:r>
      <w:r>
        <w:t xml:space="preserve"> </w:t>
      </w:r>
      <w:r>
        <w:t xml:space="preserve">Cost-per-acquisition versus service revenue; target 60% gross margin by Month 10.</w:t>
      </w:r>
    </w:p>
    <w:bookmarkEnd w:id="31"/>
    <w:bookmarkStart w:id="32" w:name="X66ec4a3445b3728f0c834588587541b6a24fe2b"/>
    <w:p>
      <w:pPr>
        <w:pStyle w:val="Heading2"/>
      </w:pPr>
      <w:r>
        <w:t xml:space="preserve">Conclusion: Sustaining OT Growth in Myanmar Yangon</w:t>
      </w:r>
    </w:p>
    <w:p>
      <w:pPr>
        <w:pStyle w:val="FirstParagraph"/>
      </w:pPr>
      <w:r>
        <w:t xml:space="preserve">This Marketing Plan positions Occupational Therapist services as indispensable within Myanmar Yangon's evolving healthcare landscape. By centering our strategy on cultural humility, community collaboration, and economic accessibility—rather than generic Western models—we address the unique needs of Yangon's residents while building a scalable service. As Myanmar's healthcare system increasingly values rehabilitation medicine (per Ministry of Health Policy 2025), this plan ensures our Occupational Therapist practice becomes the trusted standard for holistic recovery across Yangon, transforming lives through meaningful, locally adapted care. The success of this initiative will set a benchmark for occupational therapy services throughout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Myanmar Yangon</dc:title>
  <dc:creator/>
  <dc:language>en</dc:language>
  <cp:keywords/>
  <dcterms:created xsi:type="dcterms:W3CDTF">2025-12-13T04:29:29Z</dcterms:created>
  <dcterms:modified xsi:type="dcterms:W3CDTF">2025-12-13T04:29:29Z</dcterms:modified>
</cp:coreProperties>
</file>

<file path=docProps/custom.xml><?xml version="1.0" encoding="utf-8"?>
<Properties xmlns="http://schemas.openxmlformats.org/officeDocument/2006/custom-properties" xmlns:vt="http://schemas.openxmlformats.org/officeDocument/2006/docPropsVTypes"/>
</file>