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6" w:name="Xc84656d24f639ceafdce6beb9ae953c143a1c81"/>
    <w:p>
      <w:pPr>
        <w:pStyle w:val="Heading1"/>
      </w:pPr>
      <w:r>
        <w:t xml:space="preserve">Comprehensive Marketing Plan for Occupational Therapist Services in United States Miami</w:t>
      </w:r>
    </w:p>
    <w:bookmarkStart w:id="20" w:name="executive-summary"/>
    <w:p>
      <w:pPr>
        <w:pStyle w:val="Heading2"/>
      </w:pPr>
      <w:r>
        <w:t xml:space="preserve">Executive Summary</w:t>
      </w:r>
    </w:p>
    <w:p>
      <w:pPr>
        <w:pStyle w:val="FirstParagraph"/>
      </w:pPr>
      <w:r>
        <w:t xml:space="preserve">This Marketing Plan outlines strategic initiatives to establish and grow a premier Occupational Therapist practice within the vibrant healthcare landscape of Miami, United States. Targeting diverse communities across South Florida, our strategy leverages Miami's unique demographics and healthcare demands to position our Occupational Therapist services as essential for enhancing quality of life. With over 6 million residents in the Miami metropolitan area and rising demand for rehabilitation services, this plan details a 12-month roadmap to achieve 35% market penetration among target populations while building brand authority in the United States Miami region.</w:t>
      </w:r>
    </w:p>
    <w:bookmarkEnd w:id="20"/>
    <w:bookmarkStart w:id="21" w:name="Xef38999fb6a51eaa2b6cb508b9eec38ba568ce1"/>
    <w:p>
      <w:pPr>
        <w:pStyle w:val="Heading2"/>
      </w:pPr>
      <w:r>
        <w:t xml:space="preserve">Market Analysis: Occupational Therapist Demand in United States Miami</w:t>
      </w:r>
    </w:p>
    <w:p>
      <w:pPr>
        <w:pStyle w:val="FirstParagraph"/>
      </w:pPr>
      <w:r>
        <w:t xml:space="preserve">Miami presents a compelling market for Occupational Therapist services due to its aging population (18% over 65), high incidence of sports injuries, and growing neurorehabilitation needs. The Centers for Disease Control (CDC) reports Florida ranks among the top states for stroke incidents, directly fueling demand for specialized occupational therapy. Additionally, Miami's diverse cultural makeup—including significant Hispanic, Caribbean, and aging immigrant communities—requires culturally competent care that our practice will emphasize. Competitor analysis reveals a gap in integrated telehealth services and community outreach programs across United States Miami OT providers. This plan addresses these gaps through hyper-localized strategies.</w:t>
      </w:r>
    </w:p>
    <w:bookmarkEnd w:id="21"/>
    <w:bookmarkStart w:id="22" w:name="marketing-objectives"/>
    <w:p>
      <w:pPr>
        <w:pStyle w:val="Heading2"/>
      </w:pPr>
      <w:r>
        <w:t xml:space="preserve">Marketing Objectives</w:t>
      </w:r>
    </w:p>
    <w:p>
      <w:pPr>
        <w:numPr>
          <w:ilvl w:val="0"/>
          <w:numId w:val="1001"/>
        </w:numPr>
        <w:pStyle w:val="Compact"/>
      </w:pPr>
      <w:r>
        <w:t xml:space="preserve">Acquire 150 new patients within the first six months through targeted community engagement</w:t>
      </w:r>
    </w:p>
    <w:p>
      <w:pPr>
        <w:numPr>
          <w:ilvl w:val="0"/>
          <w:numId w:val="1001"/>
        </w:numPr>
        <w:pStyle w:val="Compact"/>
      </w:pPr>
      <w:r>
        <w:t xml:space="preserve">Establish 25+ strategic partnerships with Miami-area healthcare providers by Q3</w:t>
      </w:r>
    </w:p>
    <w:p>
      <w:pPr>
        <w:numPr>
          <w:ilvl w:val="0"/>
          <w:numId w:val="1001"/>
        </w:numPr>
        <w:pStyle w:val="Compact"/>
      </w:pPr>
      <w:r>
        <w:t xml:space="preserve">Achieve 95% brand recognition among referring physicians in Miami-Dade County within 12 months</w:t>
      </w:r>
    </w:p>
    <w:p>
      <w:pPr>
        <w:numPr>
          <w:ilvl w:val="0"/>
          <w:numId w:val="1001"/>
        </w:numPr>
        <w:pStyle w:val="Compact"/>
      </w:pPr>
      <w:r>
        <w:t xml:space="preserve">Attain a patient retention rate of 80% through personalized care experiences</w:t>
      </w:r>
    </w:p>
    <w:bookmarkEnd w:id="22"/>
    <w:bookmarkStart w:id="26" w:name="X9f7d81b9ddeae00e3825d93fd24941f05fea9f2"/>
    <w:p>
      <w:pPr>
        <w:pStyle w:val="Heading2"/>
      </w:pPr>
      <w:r>
        <w:t xml:space="preserve">Target Audience Segmentation (Miami-Specific)</w:t>
      </w:r>
    </w:p>
    <w:p>
      <w:pPr>
        <w:pStyle w:val="FirstParagraph"/>
      </w:pPr>
      <w:r>
        <w:t xml:space="preserve">We've identified three primary segments requiring tailored Occupational Therapist approaches in United States Miami:</w:t>
      </w:r>
    </w:p>
    <w:bookmarkStart w:id="23" w:name="seniors-in-miami-dade-broward-counties"/>
    <w:p>
      <w:pPr>
        <w:pStyle w:val="Heading3"/>
      </w:pPr>
      <w:r>
        <w:t xml:space="preserve">1. Seniors in Miami-Dade &amp; Broward Counties</w:t>
      </w:r>
    </w:p>
    <w:p>
      <w:pPr>
        <w:pStyle w:val="FirstParagraph"/>
      </w:pPr>
      <w:r>
        <w:t xml:space="preserve">Focus: Post-stroke recovery, arthritis management, fall prevention. Strategy: Partner with senior centers (e.g., Bayside Senior Center) for free "Healthy Aging Workshops" and offer Spanish/English bilingual services—critical given 68% of Miami's elderly population speaks Spanish.</w:t>
      </w:r>
    </w:p>
    <w:bookmarkEnd w:id="23"/>
    <w:bookmarkStart w:id="24" w:name="X15bf0ebff0f70f4d7785ee0706032e8b3f83b82"/>
    <w:p>
      <w:pPr>
        <w:pStyle w:val="Heading3"/>
      </w:pPr>
      <w:r>
        <w:t xml:space="preserve">2. Active Lifestyle Residents (Beaches, Sports Enthusiasts)</w:t>
      </w:r>
    </w:p>
    <w:p>
      <w:pPr>
        <w:pStyle w:val="FirstParagraph"/>
      </w:pPr>
      <w:r>
        <w:t xml:space="preserve">Focus: Sports injury rehabilitation, post-surgical recovery. Strategy: Sponsor local events (e.g., Miami Marathon) and collaborate with gyms like Equinox Downtown for "Injury Prevention" seminars.</w:t>
      </w:r>
    </w:p>
    <w:bookmarkEnd w:id="24"/>
    <w:bookmarkStart w:id="25" w:name="pediatric-neurodiverse-families"/>
    <w:p>
      <w:pPr>
        <w:pStyle w:val="Heading3"/>
      </w:pPr>
      <w:r>
        <w:t xml:space="preserve">3. Pediatric &amp; Neurodiverse Families</w:t>
      </w:r>
    </w:p>
    <w:p>
      <w:pPr>
        <w:pStyle w:val="FirstParagraph"/>
      </w:pPr>
      <w:r>
        <w:t xml:space="preserve">Focus: Autism therapy, developmental delays. Strategy: Work with Miami-Dade Public Schools and clinics like Nicklaus Children's Hospital for school-based screenings and parent education series in culturally relevant formats.</w:t>
      </w:r>
    </w:p>
    <w:bookmarkEnd w:id="25"/>
    <w:bookmarkEnd w:id="26"/>
    <w:bookmarkStart w:id="31" w:name="marketing-strategies-tactics"/>
    <w:p>
      <w:pPr>
        <w:pStyle w:val="Heading2"/>
      </w:pPr>
      <w:r>
        <w:t xml:space="preserve">Marketing Strategies &amp; Tactics</w:t>
      </w:r>
    </w:p>
    <w:bookmarkStart w:id="27" w:name="digital-dominance-in-miami"/>
    <w:p>
      <w:pPr>
        <w:pStyle w:val="Heading3"/>
      </w:pPr>
      <w:r>
        <w:t xml:space="preserve">Digital Dominance in Miami</w:t>
      </w:r>
    </w:p>
    <w:p>
      <w:pPr>
        <w:pStyle w:val="FirstParagraph"/>
      </w:pPr>
      <w:r>
        <w:t xml:space="preserve">Develop a Miami-specific website with SEO optimized for "Occupational Therapist near me," "Miami stroke rehab," and "Spanish-speaking OT." Implement Google Ads targeting zip codes 33101-33199, including terms like "OT for seniors in Coconut Grove." Utilize Instagram Reels showing quick recovery tips filmed at Miami landmarks (e.g., South Pointe Park) to build local resonance.</w:t>
      </w:r>
    </w:p>
    <w:bookmarkEnd w:id="27"/>
    <w:bookmarkStart w:id="28" w:name="community-integration"/>
    <w:p>
      <w:pPr>
        <w:pStyle w:val="Heading3"/>
      </w:pPr>
      <w:r>
        <w:t xml:space="preserve">Community Integration</w:t>
      </w:r>
    </w:p>
    <w:p>
      <w:pPr>
        <w:pStyle w:val="FirstParagraph"/>
      </w:pPr>
      <w:r>
        <w:t xml:space="preserve">Launch the "Miami Thrive Initiative": Monthly free workshops at public libraries (Liberty City, Little Havana), co-hosted with community health workers. Partner with Miami-Dade County's Department of Health for "Aging Well" campaigns targeting senior housing complexes like the historic Overtown area.</w:t>
      </w:r>
    </w:p>
    <w:bookmarkEnd w:id="28"/>
    <w:bookmarkStart w:id="29" w:name="physician-referral-program"/>
    <w:p>
      <w:pPr>
        <w:pStyle w:val="Heading3"/>
      </w:pPr>
      <w:r>
        <w:t xml:space="preserve">Physician Referral Program</w:t>
      </w:r>
    </w:p>
    <w:p>
      <w:pPr>
        <w:pStyle w:val="FirstParagraph"/>
      </w:pPr>
      <w:r>
        <w:t xml:space="preserve">Create a dedicated referral portal for Miami-based physicians with real-time patient progress dashboards. Host quarterly "Continuing Education Lunch &amp; Learns" at hospitals (Jackson Memorial, Baptist Health) focusing on OT's role in reducing post-acute care costs—addressing a key pain point for providers in the United States Miami healthcare system.</w:t>
      </w:r>
    </w:p>
    <w:bookmarkEnd w:id="29"/>
    <w:bookmarkStart w:id="30" w:name="specialized-service-differentiation"/>
    <w:p>
      <w:pPr>
        <w:pStyle w:val="Heading3"/>
      </w:pPr>
      <w:r>
        <w:t xml:space="preserve">Specialized Service Differentiation</w:t>
      </w:r>
    </w:p>
    <w:p>
      <w:pPr>
        <w:pStyle w:val="FirstParagraph"/>
      </w:pPr>
      <w:r>
        <w:t xml:space="preserve">Develop Miami-exclusive programs: "Beachside Therapy" (outdoor sessions at Haulover Beach for pediatric clients), and "Cuban Heritage Adaptation Program" for elderly patients with cultural dietary needs. This directly responds to Miami's unique cultural identity while positioning our Occupational Therapist services as locally attuned.</w:t>
      </w:r>
    </w:p>
    <w:bookmarkEnd w:id="30"/>
    <w:bookmarkEnd w:id="31"/>
    <w:bookmarkStart w:id="32" w:name="budget-allocation-45000-12-month"/>
    <w:p>
      <w:pPr>
        <w:pStyle w:val="Heading2"/>
      </w:pPr>
      <w:r>
        <w:t xml:space="preserve">Budget Allocation: $45,000 (12-Month)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 Google Ads)</w:t>
            </w:r>
          </w:p>
        </w:tc>
        <w:tc>
          <w:tcPr/>
          <w:p>
            <w:pPr>
              <w:pStyle w:val="Compact"/>
              <w:jc w:val="left"/>
            </w:pPr>
            <w:r>
              <w:t xml:space="preserve">$12,000</w:t>
            </w:r>
          </w:p>
        </w:tc>
        <w:tc>
          <w:tcPr/>
          <w:p>
            <w:pPr>
              <w:pStyle w:val="Compact"/>
              <w:jc w:val="left"/>
            </w:pPr>
            <w:r>
              <w:t xml:space="preserve">Taps into Miami residents' primary health information source; targets high-intent local searches.</w:t>
            </w:r>
          </w:p>
        </w:tc>
      </w:tr>
      <w:tr>
        <w:tc>
          <w:tcPr/>
          <w:p>
            <w:pPr>
              <w:pStyle w:val="Compact"/>
              <w:jc w:val="left"/>
            </w:pPr>
            <w:r>
              <w:t xml:space="preserve">Community Events &amp; Partnerships</w:t>
            </w:r>
          </w:p>
        </w:tc>
        <w:tc>
          <w:tcPr/>
          <w:p>
            <w:pPr>
              <w:pStyle w:val="Compact"/>
              <w:jc w:val="left"/>
            </w:pPr>
            <w:r>
              <w:t xml:space="preserve">$15,000</w:t>
            </w:r>
          </w:p>
        </w:tc>
        <w:tc>
          <w:tcPr/>
          <w:p>
            <w:pPr>
              <w:pStyle w:val="Compact"/>
              <w:jc w:val="left"/>
            </w:pPr>
            <w:r>
              <w:t xml:space="preserve">Critical for trust-building in Miami's tight-knit communities and meeting referral targets.</w:t>
            </w:r>
          </w:p>
        </w:tc>
      </w:tr>
      <w:tr>
        <w:tc>
          <w:tcPr/>
          <w:p>
            <w:pPr>
              <w:pStyle w:val="Compact"/>
              <w:jc w:val="left"/>
            </w:pPr>
            <w:r>
              <w:t xml:space="preserve">Physician Outreach Materials</w:t>
            </w:r>
          </w:p>
        </w:tc>
        <w:tc>
          <w:tcPr/>
          <w:p>
            <w:pPr>
              <w:pStyle w:val="Compact"/>
              <w:jc w:val="left"/>
            </w:pPr>
            <w:r>
              <w:t xml:space="preserve">$8,000</w:t>
            </w:r>
          </w:p>
        </w:tc>
        <w:tc>
          <w:tcPr/>
          <w:p>
            <w:pPr>
              <w:pStyle w:val="Compact"/>
              <w:jc w:val="left"/>
            </w:pPr>
            <w:r>
              <w:t xml:space="preserve">Essential for securing referrals from Miami healthcare networks.</w:t>
            </w:r>
          </w:p>
        </w:tc>
      </w:tr>
      <w:tr>
        <w:tc>
          <w:tcPr/>
          <w:p>
            <w:pPr>
              <w:pStyle w:val="Compact"/>
              <w:jc w:val="left"/>
            </w:pPr>
            <w:r>
              <w:t xml:space="preserve">Content Creation (Videos, Workshops)</w:t>
            </w:r>
          </w:p>
        </w:tc>
        <w:tc>
          <w:tcPr/>
          <w:p>
            <w:pPr>
              <w:pStyle w:val="Compact"/>
              <w:jc w:val="left"/>
            </w:pPr>
            <w:r>
              <w:t xml:space="preserve">$7,500</w:t>
            </w:r>
          </w:p>
        </w:tc>
        <w:tc>
          <w:tcPr/>
          <w:p>
            <w:pPr>
              <w:pStyle w:val="Compact"/>
              <w:jc w:val="left"/>
            </w:pPr>
            <w:r>
              <w:t xml:space="preserve">Demonstrates expertise while resonating with Miami's visual culture.</w:t>
            </w:r>
          </w:p>
        </w:tc>
      </w:tr>
      <w:tr>
        <w:tc>
          <w:tcPr/>
          <w:p>
            <w:pPr>
              <w:pStyle w:val="Compact"/>
              <w:jc w:val="left"/>
            </w:pPr>
            <w:r>
              <w:t xml:space="preserve">Miscellaneous (Analytics, Contingency)</w:t>
            </w:r>
          </w:p>
        </w:tc>
        <w:tc>
          <w:tcPr/>
          <w:p>
            <w:pPr>
              <w:pStyle w:val="Compact"/>
              <w:jc w:val="left"/>
            </w:pPr>
            <w:r>
              <w:t xml:space="preserve">$2,500</w:t>
            </w:r>
          </w:p>
        </w:tc>
        <w:tc>
          <w:tcPr/>
          <w:p>
            <w:pPr>
              <w:pStyle w:val="Compact"/>
              <w:jc w:val="left"/>
            </w:pPr>
            <w:r>
              <w:t xml:space="preserve">Ensures agility in response to Miami market shifts.</w:t>
            </w:r>
          </w:p>
        </w:tc>
      </w:tr>
    </w:tbl>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Launch Miami-specific website; secure partnerships with 5 senior centers and 3 hospitals. Begin digital campaigns targeting "Occupational Therapist Miami".</w:t>
      </w:r>
    </w:p>
    <w:p>
      <w:pPr>
        <w:pStyle w:val="BodyText"/>
      </w:pPr>
      <w:r>
        <w:rPr>
          <w:bCs/>
          <w:b/>
        </w:rPr>
        <w:t xml:space="preserve">Months 4-6:</w:t>
      </w:r>
      <w:r>
        <w:t xml:space="preserve"> </w:t>
      </w:r>
      <w:r>
        <w:t xml:space="preserve">Roll out "Miami Thrive Initiative" workshops; activate physician referral program. Track patient acquisition cost (PAC) against Miami market benchmarks.</w:t>
      </w:r>
    </w:p>
    <w:p>
      <w:pPr>
        <w:pStyle w:val="BodyText"/>
      </w:pPr>
      <w:r>
        <w:rPr>
          <w:bCs/>
          <w:b/>
        </w:rPr>
        <w:t xml:space="preserve">Months 7-9:</w:t>
      </w:r>
      <w:r>
        <w:t xml:space="preserve"> </w:t>
      </w:r>
      <w:r>
        <w:t xml:space="preserve">Introduce beachside therapy sessions; measure retention rates among pediatric clients. Host first Miami-based OT conference.</w:t>
      </w:r>
    </w:p>
    <w:p>
      <w:pPr>
        <w:pStyle w:val="BodyText"/>
      </w:pPr>
      <w:r>
        <w:rPr>
          <w:bCs/>
          <w:b/>
        </w:rPr>
        <w:t xml:space="preserve">Months 10-12:</w:t>
      </w:r>
      <w:r>
        <w:t xml:space="preserve"> </w:t>
      </w:r>
      <w:r>
        <w:t xml:space="preserve">Analyze year-end data to refine services for the Miami market, focusing on high-demand areas like stroke rehab and sports recovery.</w:t>
      </w:r>
    </w:p>
    <w:bookmarkEnd w:id="33"/>
    <w:bookmarkStart w:id="34" w:name="success-metrics-kpis"/>
    <w:p>
      <w:pPr>
        <w:pStyle w:val="Heading2"/>
      </w:pPr>
      <w:r>
        <w:t xml:space="preserve">Success Metrics &amp; KPIs</w:t>
      </w:r>
    </w:p>
    <w:p>
      <w:pPr>
        <w:numPr>
          <w:ilvl w:val="0"/>
          <w:numId w:val="1002"/>
        </w:numPr>
        <w:pStyle w:val="Compact"/>
      </w:pPr>
      <w:r>
        <w:rPr>
          <w:bCs/>
          <w:b/>
        </w:rPr>
        <w:t xml:space="preserve">Patient Acquisition Cost (PAC):</w:t>
      </w:r>
      <w:r>
        <w:t xml:space="preserve"> </w:t>
      </w:r>
      <w:r>
        <w:t xml:space="preserve">Target: Under $180 per patient (below Miami average of $235)</w:t>
      </w:r>
    </w:p>
    <w:p>
      <w:pPr>
        <w:numPr>
          <w:ilvl w:val="0"/>
          <w:numId w:val="1002"/>
        </w:numPr>
        <w:pStyle w:val="Compact"/>
      </w:pPr>
      <w:r>
        <w:rPr>
          <w:bCs/>
          <w:b/>
        </w:rPr>
        <w:t xml:space="preserve">Local Market Share:</w:t>
      </w:r>
      <w:r>
        <w:t xml:space="preserve"> </w:t>
      </w:r>
      <w:r>
        <w:t xml:space="preserve">Target: 15% in Miami-Dade County within 12 months</w:t>
      </w:r>
    </w:p>
    <w:p>
      <w:pPr>
        <w:numPr>
          <w:ilvl w:val="0"/>
          <w:numId w:val="1002"/>
        </w:numPr>
        <w:pStyle w:val="Compact"/>
      </w:pPr>
      <w:r>
        <w:rPr>
          <w:bCs/>
          <w:b/>
        </w:rPr>
        <w:t xml:space="preserve">Social Engagement:</w:t>
      </w:r>
      <w:r>
        <w:t xml:space="preserve"> </w:t>
      </w:r>
      <w:r>
        <w:t xml:space="preserve">Target: 50+ monthly community workshop attendees in United States Miami</w:t>
      </w:r>
    </w:p>
    <w:p>
      <w:pPr>
        <w:numPr>
          <w:ilvl w:val="0"/>
          <w:numId w:val="1002"/>
        </w:numPr>
        <w:pStyle w:val="Compact"/>
      </w:pPr>
      <w:r>
        <w:rPr>
          <w:bCs/>
          <w:b/>
        </w:rPr>
        <w:t xml:space="preserve">Clinical Outcomes:</w:t>
      </w:r>
      <w:r>
        <w:t xml:space="preserve"> </w:t>
      </w:r>
      <w:r>
        <w:t xml:space="preserve">Target: 90% patient satisfaction score (measured via post-therapy surveys)</w:t>
      </w:r>
    </w:p>
    <w:bookmarkEnd w:id="34"/>
    <w:bookmarkStart w:id="35" w:name="conclusion"/>
    <w:p>
      <w:pPr>
        <w:pStyle w:val="Heading2"/>
      </w:pPr>
      <w:r>
        <w:t xml:space="preserve">Conclusion</w:t>
      </w:r>
    </w:p>
    <w:p>
      <w:pPr>
        <w:pStyle w:val="FirstParagraph"/>
      </w:pPr>
      <w:r>
        <w:t xml:space="preserve">This Marketing Plan positions our Occupational Therapist practice as the culturally intelligent, community-integrated solution Miami demands. By embedding services within South Florida's unique social fabric—from Liberty City to South Beach—we move beyond generic marketing to deliver measurable health outcomes. The United States Miami market’s diversity and growth trajectory make this a pivotal opportunity; this plan ensures our Occupational Therapist services become synonymous with compassionate, effective care across the region. With strategic execution of these Miami-specific tactics, we project 45% year-over-year revenue growth while fulfilling our mission to enhance lives through occupational therapy in the heart of South Florida.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United States Miami</dc:title>
  <dc:creator/>
  <dc:language>en</dc:language>
  <cp:keywords/>
  <dcterms:created xsi:type="dcterms:W3CDTF">2026-07-24T03:45:37Z</dcterms:created>
  <dcterms:modified xsi:type="dcterms:W3CDTF">2026-07-24T03:45:37Z</dcterms:modified>
</cp:coreProperties>
</file>

<file path=docProps/custom.xml><?xml version="1.0" encoding="utf-8"?>
<Properties xmlns="http://schemas.openxmlformats.org/officeDocument/2006/custom-properties" xmlns:vt="http://schemas.openxmlformats.org/officeDocument/2006/docPropsVTypes"/>
</file>