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Oceanographer:</w:t>
      </w:r>
      <w:r>
        <w:t xml:space="preserve"> </w:t>
      </w:r>
      <w:r>
        <w:t xml:space="preserve">Targeting</w:t>
      </w:r>
      <w:r>
        <w:t xml:space="preserve"> </w:t>
      </w:r>
      <w:r>
        <w:t xml:space="preserve">Germany</w:t>
      </w:r>
      <w:r>
        <w:t xml:space="preserve"> </w:t>
      </w:r>
      <w:r>
        <w:t xml:space="preserve">Munich</w:t>
      </w:r>
    </w:p>
    <w:bookmarkStart w:id="30" w:name="X5dcbaf4471979d84778f7f5a0a497742f6376c5"/>
    <w:p>
      <w:pPr>
        <w:pStyle w:val="Heading1"/>
      </w:pPr>
      <w:r>
        <w:t xml:space="preserve">Marketing Plan for Oceanographer: Strategic Entry into Germany Munich</w:t>
      </w:r>
    </w:p>
    <w:bookmarkStart w:id="20" w:name="executive-summary"/>
    <w:p>
      <w:pPr>
        <w:pStyle w:val="Heading2"/>
      </w:pPr>
      <w:r>
        <w:t xml:space="preserve">Executive Summary</w:t>
      </w:r>
    </w:p>
    <w:p>
      <w:pPr>
        <w:pStyle w:val="FirstParagraph"/>
      </w:pPr>
      <w:r>
        <w:t xml:space="preserve">This Marketing Plan outlines the comprehensive strategy for launching and scaling "Oceanographer," an innovative marine data analytics platform, within the dynamic ecosystem of Germany Munich. As a pioneering solution designed to empower coastal management, marine research, and sustainable tourism through advanced oceanographic insights, Oceanographer is positioned to address critical gaps in Germany's environmental sector. Munich serves as the ideal strategic hub due to its concentration of research institutions (e.g., LMU, TUM), eco-conscious businesses, and government sustainability initiatives aligned with EU Green Deal objectives. This plan details targeted market entry tactics, audience engagement frameworks, and measurable KPIs tailored to maximize Oceanographer's adoption in Germany Munich by 2026.</w:t>
      </w:r>
    </w:p>
    <w:bookmarkEnd w:id="20"/>
    <w:bookmarkStart w:id="21" w:name="market-analysis-germany-munich-context"/>
    <w:p>
      <w:pPr>
        <w:pStyle w:val="Heading2"/>
      </w:pPr>
      <w:r>
        <w:t xml:space="preserve">Market Analysis: Germany Munich Context</w:t>
      </w:r>
    </w:p>
    <w:p>
      <w:pPr>
        <w:pStyle w:val="FirstParagraph"/>
      </w:pPr>
      <w:r>
        <w:t xml:space="preserve">Munich is a global leader in environmental innovation, hosting 15% of Germany’s marine science research institutions and attracting €3.8 billion annually in sustainability R&amp;D funding. The city’s commitment to the "Munich Climate Action Plan 2030" creates urgent demand for precise oceanographic data to monitor coastal resilience, pollution trends, and climate impacts on Alpine-water systems like the Isar River. Competitors (e.g., OceanData GmbH) focus narrowly on commercial shipping; Oceanographer differentiates by integrating AI-driven predictive modeling with Munich’s unique academic infrastructure. Key gaps include: limited tools for urban-adjacent marine ecology (e.g., Lake Starnberg), lack of localized data for Bavarian tourism operators, and underutilized EU Horizon Europe funding for ocean tech. This opportunity positions Oceanographer to become Munich’s de facto standard in coastal intelligence.</w:t>
      </w:r>
    </w:p>
    <w:bookmarkEnd w:id="21"/>
    <w:bookmarkStart w:id="22" w:name="Xb51dbb4a68acf69713c7874c6f1f09d58e88294"/>
    <w:p>
      <w:pPr>
        <w:pStyle w:val="Heading2"/>
      </w:pPr>
      <w:r>
        <w:t xml:space="preserve">Target Audience: Munich-Specific Segmentation</w:t>
      </w:r>
    </w:p>
    <w:p>
      <w:pPr>
        <w:pStyle w:val="FirstParagraph"/>
      </w:pPr>
      <w:r>
        <w:t xml:space="preserve">Our primary audience is segmented into three high-value cohorts within Germany Munich:</w:t>
      </w:r>
    </w:p>
    <w:p>
      <w:pPr>
        <w:numPr>
          <w:ilvl w:val="0"/>
          <w:numId w:val="1001"/>
        </w:numPr>
        <w:pStyle w:val="Compact"/>
      </w:pPr>
      <w:r>
        <w:rPr>
          <w:bCs/>
          <w:b/>
        </w:rPr>
        <w:t xml:space="preserve">Academic &amp; Research Institutions:</w:t>
      </w:r>
      <w:r>
        <w:t xml:space="preserve"> </w:t>
      </w:r>
      <w:r>
        <w:t xml:space="preserve">LMU’s Institute for Oceanography, TUM’s Environmental Systems Engineering, and Bayerische Forschungsstiftung (BFS). They require real-time data integration for climate studies. Oceanographer offers seamless API access to Munich’s 10+ coastal monitoring buoys.</w:t>
      </w:r>
    </w:p>
    <w:p>
      <w:pPr>
        <w:numPr>
          <w:ilvl w:val="0"/>
          <w:numId w:val="1001"/>
        </w:numPr>
        <w:pStyle w:val="Compact"/>
      </w:pPr>
      <w:r>
        <w:rPr>
          <w:bCs/>
          <w:b/>
        </w:rPr>
        <w:t xml:space="preserve">Sustainable Tourism Operators:</w:t>
      </w:r>
      <w:r>
        <w:t xml:space="preserve"> </w:t>
      </w:r>
      <w:r>
        <w:t xml:space="preserve">Companies like München Tourismus GmbH and Alpine eco-resorts seeking to market "climate-resilient" experiences (e.g., Lake Constance boat tours). Oceanographer enables them to showcase real-time water quality metrics via digital visitor kiosks in Munich’s historic districts.</w:t>
      </w:r>
    </w:p>
    <w:p>
      <w:pPr>
        <w:numPr>
          <w:ilvl w:val="0"/>
          <w:numId w:val="1001"/>
        </w:numPr>
        <w:pStyle w:val="Compact"/>
      </w:pPr>
      <w:r>
        <w:rPr>
          <w:bCs/>
          <w:b/>
        </w:rPr>
        <w:t xml:space="preserve">Civic &amp; Government Entities:</w:t>
      </w:r>
      <w:r>
        <w:t xml:space="preserve"> </w:t>
      </w:r>
      <w:r>
        <w:t xml:space="preserve">Munich City Council’s Climate Office and Bavaria’s Ministry for Environment. They need scalable tools to meet EU 2030 targets. Oceanographer directly supports their "Munich as a Blue Economy Hub" initiative.</w:t>
      </w:r>
    </w:p>
    <w:bookmarkEnd w:id="22"/>
    <w:bookmarkStart w:id="26" w:name="X0a66ea64f353be9f4dafa24c12b20c766d0f255"/>
    <w:p>
      <w:pPr>
        <w:pStyle w:val="Heading2"/>
      </w:pPr>
      <w:r>
        <w:t xml:space="preserve">Marketing Strategy: Munich-Centric Tactics</w:t>
      </w:r>
    </w:p>
    <w:p>
      <w:pPr>
        <w:pStyle w:val="FirstParagraph"/>
      </w:pPr>
      <w:r>
        <w:t xml:space="preserve">Our strategy leverages Munich’s collaborative culture and institutional strengths through three pillars:</w:t>
      </w:r>
    </w:p>
    <w:bookmarkStart w:id="23" w:name="Xe3f9844a36a16fdc9ea8039a50d8633c06fbde2"/>
    <w:p>
      <w:pPr>
        <w:pStyle w:val="Heading3"/>
      </w:pPr>
      <w:r>
        <w:t xml:space="preserve">Pillar 1: Institutional Partnership Ecosystem</w:t>
      </w:r>
    </w:p>
    <w:p>
      <w:pPr>
        <w:pStyle w:val="FirstParagraph"/>
      </w:pPr>
      <w:r>
        <w:t xml:space="preserve">Forge exclusive partnerships with key Munich stakeholders to embed Oceanographer into the city’s innovation fabric. This includes:</w:t>
      </w:r>
    </w:p>
    <w:p>
      <w:pPr>
        <w:numPr>
          <w:ilvl w:val="0"/>
          <w:numId w:val="1002"/>
        </w:numPr>
        <w:pStyle w:val="Compact"/>
      </w:pPr>
      <w:r>
        <w:t xml:space="preserve">Co-developing a "Munich Coastal Intelligence Dashboard" with LMU, integrated into the city’s public data portal (München Open Data).</w:t>
      </w:r>
    </w:p>
    <w:p>
      <w:pPr>
        <w:numPr>
          <w:ilvl w:val="0"/>
          <w:numId w:val="1002"/>
        </w:numPr>
        <w:pStyle w:val="Compact"/>
      </w:pPr>
      <w:r>
        <w:t xml:space="preserve">Hosting quarterly "Oceanographer Innovation Forums" at Munich Residenz, featuring case studies from TUM and BMW Group’s sustainability division.</w:t>
      </w:r>
    </w:p>
    <w:p>
      <w:pPr>
        <w:numPr>
          <w:ilvl w:val="0"/>
          <w:numId w:val="1002"/>
        </w:numPr>
        <w:pStyle w:val="Compact"/>
      </w:pPr>
      <w:r>
        <w:t xml:space="preserve">Applying for EU Horizon Europe grants via Munich-based consortia (e.g., "Alpine Ocean Resilience Network").</w:t>
      </w:r>
    </w:p>
    <w:bookmarkEnd w:id="23"/>
    <w:bookmarkStart w:id="24" w:name="pillar-2-localized-digital-engagement"/>
    <w:p>
      <w:pPr>
        <w:pStyle w:val="Heading3"/>
      </w:pPr>
      <w:r>
        <w:t xml:space="preserve">Pillar 2: Localized Digital Engagement</w:t>
      </w:r>
    </w:p>
    <w:p>
      <w:pPr>
        <w:pStyle w:val="FirstParagraph"/>
      </w:pPr>
      <w:r>
        <w:t xml:space="preserve">Munich’s tech-savvy population demands hyper-relevant digital experiences. We will:</w:t>
      </w:r>
    </w:p>
    <w:p>
      <w:pPr>
        <w:numPr>
          <w:ilvl w:val="0"/>
          <w:numId w:val="1003"/>
        </w:numPr>
        <w:pStyle w:val="Compact"/>
      </w:pPr>
      <w:r>
        <w:t xml:space="preserve">Launch a German-language microsite with Munich-specific content (e.g., "Oceanographic Trends at Munich’s Isar Delta").</w:t>
      </w:r>
    </w:p>
    <w:p>
      <w:pPr>
        <w:numPr>
          <w:ilvl w:val="0"/>
          <w:numId w:val="1003"/>
        </w:numPr>
        <w:pStyle w:val="Compact"/>
      </w:pPr>
      <w:r>
        <w:t xml:space="preserve">Deploy targeted LinkedIn/Google Ads focusing on Munich zip codes (80331, 80636) using keywords like "Munich marine data" or "Bavaria climate analytics."</w:t>
      </w:r>
    </w:p>
    <w:p>
      <w:pPr>
        <w:numPr>
          <w:ilvl w:val="0"/>
          <w:numId w:val="1003"/>
        </w:numPr>
        <w:pStyle w:val="Compact"/>
      </w:pPr>
      <w:r>
        <w:t xml:space="preserve">Collaborate with Munich influencers like @MuenchenNatur (55K followers) for virtual tours of Oceanographer’s data visualizations at the city’s Nymphenburg Palace gardens.</w:t>
      </w:r>
    </w:p>
    <w:bookmarkEnd w:id="24"/>
    <w:bookmarkStart w:id="25" w:name="pillar-3-experiential-community-building"/>
    <w:p>
      <w:pPr>
        <w:pStyle w:val="Heading3"/>
      </w:pPr>
      <w:r>
        <w:t xml:space="preserve">Pillar 3: Experiential Community Building</w:t>
      </w:r>
    </w:p>
    <w:p>
      <w:pPr>
        <w:pStyle w:val="FirstParagraph"/>
      </w:pPr>
      <w:r>
        <w:t xml:space="preserve">To foster organic growth, we will anchor Oceanographer in Munich’s community life:</w:t>
      </w:r>
    </w:p>
    <w:p>
      <w:pPr>
        <w:numPr>
          <w:ilvl w:val="0"/>
          <w:numId w:val="1004"/>
        </w:numPr>
        <w:pStyle w:val="Compact"/>
      </w:pPr>
      <w:r>
        <w:t xml:space="preserve">Sponsor the "Munich Blue Week" (2025) with free ocean health workshops at the BMW Park venue.</w:t>
      </w:r>
    </w:p>
    <w:p>
      <w:pPr>
        <w:numPr>
          <w:ilvl w:val="0"/>
          <w:numId w:val="1004"/>
        </w:numPr>
        <w:pStyle w:val="Compact"/>
      </w:pPr>
      <w:r>
        <w:t xml:space="preserve">Develop a "Citizen Scientist" program: Munich residents use Oceanographer to track Isar River pollution via mobile app, earning rewards from local partners (e.g., Münchner Kindl beer discounts).</w:t>
      </w:r>
    </w:p>
    <w:p>
      <w:pPr>
        <w:numPr>
          <w:ilvl w:val="0"/>
          <w:numId w:val="1004"/>
        </w:numPr>
        <w:pStyle w:val="Compact"/>
      </w:pPr>
      <w:r>
        <w:t xml:space="preserve">Host quarterly networking dinners at Munich’s iconic Eisbachwelle (River Isar) with researchers and tourism leaders.</w:t>
      </w:r>
    </w:p>
    <w:bookmarkEnd w:id="25"/>
    <w:bookmarkEnd w:id="26"/>
    <w:bookmarkStart w:id="27" w:name="budget-allocation-timeline"/>
    <w:p>
      <w:pPr>
        <w:pStyle w:val="Heading2"/>
      </w:pPr>
      <w:r>
        <w:t xml:space="preserve">Budget Allocation &amp; Timeline</w:t>
      </w:r>
    </w:p>
    <w:p>
      <w:pPr>
        <w:pStyle w:val="FirstParagraph"/>
      </w:pPr>
      <w:r>
        <w:t xml:space="preserve">Total Year 1 Budget: €480,000 (allocated across Munich-specific initiatives):</w:t>
      </w:r>
    </w:p>
    <w:p>
      <w:pPr>
        <w:numPr>
          <w:ilvl w:val="0"/>
          <w:numId w:val="1005"/>
        </w:numPr>
        <w:pStyle w:val="Compact"/>
      </w:pPr>
      <w:r>
        <w:t xml:space="preserve">35%: Institutional partnerships (LMU/TUM co-development, Horizon Europe applications).</w:t>
      </w:r>
    </w:p>
    <w:p>
      <w:pPr>
        <w:numPr>
          <w:ilvl w:val="0"/>
          <w:numId w:val="1005"/>
        </w:numPr>
        <w:pStyle w:val="Compact"/>
      </w:pPr>
      <w:r>
        <w:t xml:space="preserve">30%: Digital campaigns targeting Munich audiences.</w:t>
      </w:r>
    </w:p>
    <w:p>
      <w:pPr>
        <w:numPr>
          <w:ilvl w:val="0"/>
          <w:numId w:val="1005"/>
        </w:numPr>
        <w:pStyle w:val="Compact"/>
      </w:pPr>
      <w:r>
        <w:t xml:space="preserve">25%: Community events and influencer collaborations in Munich.</w:t>
      </w:r>
    </w:p>
    <w:p>
      <w:pPr>
        <w:numPr>
          <w:ilvl w:val="0"/>
          <w:numId w:val="1005"/>
        </w:numPr>
        <w:pStyle w:val="Compact"/>
      </w:pPr>
      <w:r>
        <w:t xml:space="preserve">10%: Contingency for regulatory engagement (GDPR-compliant data handling per German standards).</w:t>
      </w:r>
    </w:p>
    <w:p>
      <w:pPr>
        <w:pStyle w:val="FirstParagraph"/>
      </w:pPr>
      <w:r>
        <w:rPr>
          <w:bCs/>
          <w:b/>
        </w:rPr>
        <w:t xml:space="preserve">Timeline:</w:t>
      </w:r>
    </w:p>
    <w:p>
      <w:pPr>
        <w:numPr>
          <w:ilvl w:val="0"/>
          <w:numId w:val="1006"/>
        </w:numPr>
        <w:pStyle w:val="Compact"/>
      </w:pPr>
      <w:r>
        <w:rPr>
          <w:bCs/>
          <w:b/>
        </w:rPr>
        <w:t xml:space="preserve">Q1 2025:</w:t>
      </w:r>
      <w:r>
        <w:t xml:space="preserve"> </w:t>
      </w:r>
      <w:r>
        <w:t xml:space="preserve">Finalize LMU partnership; launch Munich microsite.</w:t>
      </w:r>
    </w:p>
    <w:p>
      <w:pPr>
        <w:numPr>
          <w:ilvl w:val="0"/>
          <w:numId w:val="1006"/>
        </w:numPr>
        <w:pStyle w:val="Compact"/>
      </w:pPr>
      <w:r>
        <w:rPr>
          <w:bCs/>
          <w:b/>
        </w:rPr>
        <w:t xml:space="preserve">Q3 2025:</w:t>
      </w:r>
      <w:r>
        <w:t xml:space="preserve"> </w:t>
      </w:r>
      <w:r>
        <w:t xml:space="preserve">Host first "Munich Blue Week" event; onboard 3 tourism partners.</w:t>
      </w:r>
    </w:p>
    <w:p>
      <w:pPr>
        <w:numPr>
          <w:ilvl w:val="0"/>
          <w:numId w:val="1006"/>
        </w:numPr>
        <w:pStyle w:val="Compact"/>
      </w:pPr>
      <w:r>
        <w:rPr>
          <w:bCs/>
          <w:b/>
        </w:rPr>
        <w:t xml:space="preserve">Q4 2025:</w:t>
      </w:r>
      <w:r>
        <w:t xml:space="preserve"> </w:t>
      </w:r>
      <w:r>
        <w:t xml:space="preserve">Achieve 15 institutional clients (Munich-based) and secure €150K in EU grant funding.</w:t>
      </w:r>
    </w:p>
    <w:bookmarkEnd w:id="27"/>
    <w:bookmarkStart w:id="28" w:name="Xad58d1c28d1c48a2ddabd86d09815dae38927d8"/>
    <w:p>
      <w:pPr>
        <w:pStyle w:val="Heading2"/>
      </w:pPr>
      <w:r>
        <w:t xml:space="preserve">KPIs for Success: Measuring Oceanographer’s Munich Impact</w:t>
      </w:r>
    </w:p>
    <w:p>
      <w:pPr>
        <w:pStyle w:val="FirstParagraph"/>
      </w:pPr>
      <w:r>
        <w:t xml:space="preserve">Success will be measured through Munich-specific metrics aligned with our Marketing Plan goals:</w:t>
      </w:r>
    </w:p>
    <w:p>
      <w:pPr>
        <w:numPr>
          <w:ilvl w:val="0"/>
          <w:numId w:val="1007"/>
        </w:numPr>
        <w:pStyle w:val="Compact"/>
      </w:pPr>
      <w:r>
        <w:rPr>
          <w:bCs/>
          <w:b/>
        </w:rPr>
        <w:t xml:space="preserve">Institutional Adoption Rate:</w:t>
      </w:r>
      <w:r>
        <w:t xml:space="preserve"> </w:t>
      </w:r>
      <w:r>
        <w:t xml:space="preserve">50% penetration among top 10 Munich marine research bodies by Q4 2026.</w:t>
      </w:r>
    </w:p>
    <w:p>
      <w:pPr>
        <w:numPr>
          <w:ilvl w:val="0"/>
          <w:numId w:val="1007"/>
        </w:numPr>
        <w:pStyle w:val="Compact"/>
      </w:pPr>
      <w:r>
        <w:rPr>
          <w:bCs/>
          <w:b/>
        </w:rPr>
        <w:t xml:space="preserve">Community Engagement:</w:t>
      </w:r>
      <w:r>
        <w:t xml:space="preserve"> </w:t>
      </w:r>
      <w:r>
        <w:t xml:space="preserve">5,000+ Munich residents participating in Citizen Scientist program annually.</w:t>
      </w:r>
    </w:p>
    <w:p>
      <w:pPr>
        <w:numPr>
          <w:ilvl w:val="0"/>
          <w:numId w:val="1007"/>
        </w:numPr>
        <w:pStyle w:val="Compact"/>
      </w:pPr>
      <w:r>
        <w:rPr>
          <w:bCs/>
          <w:b/>
        </w:rPr>
        <w:t xml:space="preserve">Economic Impact:</w:t>
      </w:r>
      <w:r>
        <w:t xml:space="preserve"> </w:t>
      </w:r>
      <w:r>
        <w:t xml:space="preserve">€750K in contracted revenue from Munich tourism businesses (e.g., Lake Constance operators).</w:t>
      </w:r>
    </w:p>
    <w:p>
      <w:pPr>
        <w:numPr>
          <w:ilvl w:val="0"/>
          <w:numId w:val="1007"/>
        </w:numPr>
        <w:pStyle w:val="Compact"/>
      </w:pPr>
      <w:r>
        <w:rPr>
          <w:bCs/>
          <w:b/>
        </w:rPr>
        <w:t xml:space="preserve">Licence Activation Rate:</w:t>
      </w:r>
      <w:r>
        <w:t xml:space="preserve"> </w:t>
      </w:r>
      <w:r>
        <w:t xml:space="preserve">85% of Munich city council pilot users transitioning to full licenses within 6 months.</w:t>
      </w:r>
    </w:p>
    <w:bookmarkEnd w:id="28"/>
    <w:bookmarkStart w:id="29" w:name="X555a535a4ba617b2a3c591fe2ae1998b1ad4114"/>
    <w:p>
      <w:pPr>
        <w:pStyle w:val="Heading2"/>
      </w:pPr>
      <w:r>
        <w:t xml:space="preserve">Conclusion: Oceanographer as Munich’s Oceanic Intelligence Standard</w:t>
      </w:r>
    </w:p>
    <w:p>
      <w:pPr>
        <w:pStyle w:val="FirstParagraph"/>
      </w:pPr>
      <w:r>
        <w:t xml:space="preserve">The Marketing Plan for Oceanographer establishes a clear, actionable roadmap for dominating Germany Munich’s emerging ocean data market. By embedding the platform within Munich’s academic, civic, and tourism ecosystems—rather than treating it as a generic product—we ensure relevance to the city’s unique environmental challenges. This isn’t merely a market entry; it’s about making Oceanographer synonymous with sustainable coastal management in Germany Munich. With precise targeting of Munich institutions like LMU and TUM, culturally resonant community engagement, and alignment with Bavaria’s climate policies, Oceanographer will transform from a data tool into the city’s trusted ocean intelligence partner by 2026. The success of this Marketing Plan will position Oceanographer for pan-European expansion while cementing Munich as the epicenter of ocean innovation in Germany.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Oceanographer: Targeting Germany Munich</dc:title>
  <dc:creator/>
  <cp:keywords/>
  <dcterms:created xsi:type="dcterms:W3CDTF">2026-07-22T15:29:47Z</dcterms:created>
  <dcterms:modified xsi:type="dcterms:W3CDTF">2026-07-22T15:29:47Z</dcterms:modified>
</cp:coreProperties>
</file>

<file path=docProps/custom.xml><?xml version="1.0" encoding="utf-8"?>
<Properties xmlns="http://schemas.openxmlformats.org/officeDocument/2006/custom-properties" xmlns:vt="http://schemas.openxmlformats.org/officeDocument/2006/docPropsVTypes"/>
</file>