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Osaka</w:t>
      </w:r>
      <w:r>
        <w:t xml:space="preserve"> </w:t>
      </w:r>
      <w:r>
        <w:t xml:space="preserve">Market</w:t>
      </w:r>
      <w:r>
        <w:t xml:space="preserve"> </w:t>
      </w:r>
      <w:r>
        <w:t xml:space="preserve">Strategy</w:t>
      </w:r>
    </w:p>
    <w:bookmarkStart w:id="31" w:name="X042c87eca394fb31551bc1d8d543ec16c1c3f87"/>
    <w:p>
      <w:pPr>
        <w:pStyle w:val="Heading1"/>
      </w:pPr>
      <w:r>
        <w:t xml:space="preserve">Comprehensive Marketing Plan for Oceanographer: Strategic Expansion into Osaka, Japan</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premium ocean conservation and marine education platform, into Osaka, Japan's dynamic coastal metropolis. Leveraging Osaka's unique geographical position at the heart of Japan's Seto Inland Sea ecosystem and its status as a global tourism hub, this plan targets 30% market penetration among eco-conscious travelers and educational institutions within 24 months. The strategy integrates local cultural nuances with Oceanographer's mission to transform marine conservation through immersive experiences, directly addressing Osaka's growing demand for sustainable tourism solutions.</w:t>
      </w:r>
    </w:p>
    <w:bookmarkEnd w:id="20"/>
    <w:bookmarkStart w:id="21" w:name="situation-analysis-osaka-market-context"/>
    <w:p>
      <w:pPr>
        <w:pStyle w:val="Heading2"/>
      </w:pPr>
      <w:r>
        <w:t xml:space="preserve">Situation Analysis: Osaka Market Context</w:t>
      </w:r>
    </w:p>
    <w:p>
      <w:pPr>
        <w:pStyle w:val="FirstParagraph"/>
      </w:pPr>
      <w:r>
        <w:t xml:space="preserve">Osaka presents a compelling opportunity due to its 18 million annual tourists (including 5.3M international visitors), proximity to marine biodiversity hotspots like the Suma-Arima Marine Park, and strong local environmental consciousness. Competitor analysis reveals gaps in experiential ocean education: existing operators (e.g., Osaka Aquarium Kaiyukan) focus on passive viewing, while tour companies lack scientific credibility. A 2023 JNTO study shows 74% of Osaka-bound tourists prioritize "meaningful nature engagement" over generic sightseeing. Oceanographer uniquely bridges science and tourism—offering certified marine biologist-led excursions, citizen science programs, and educational workshops—all aligned with Osaka's "Osaka Green Vision 2030" sustainability goals.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Eco-Tourists (45%)</w:t>
      </w:r>
      <w:r>
        <w:t xml:space="preserve"> </w:t>
      </w:r>
      <w:r>
        <w:t xml:space="preserve">- International travelers (70% from South Korea, China, EU) seeking authentic marine experiences beyond standard tours. Prioritize sustainability certifications and Instagrammable moments.</w:t>
      </w:r>
    </w:p>
    <w:p>
      <w:pPr>
        <w:numPr>
          <w:ilvl w:val="0"/>
          <w:numId w:val="1001"/>
        </w:numPr>
        <w:pStyle w:val="Compact"/>
      </w:pPr>
      <w:r>
        <w:rPr>
          <w:bCs/>
          <w:b/>
        </w:rPr>
        <w:t xml:space="preserve">Secondary: Educational Institutions (30%)</w:t>
      </w:r>
      <w:r>
        <w:t xml:space="preserve"> </w:t>
      </w:r>
      <w:r>
        <w:t xml:space="preserve">- Osaka public schools and universities (e.g., Osaka University's Marine Science Dept.) requiring curriculum-aligned field programs for 15,000+ students annually.</w:t>
      </w:r>
    </w:p>
    <w:p>
      <w:pPr>
        <w:numPr>
          <w:ilvl w:val="0"/>
          <w:numId w:val="1001"/>
        </w:numPr>
        <w:pStyle w:val="Compact"/>
      </w:pPr>
      <w:r>
        <w:rPr>
          <w:bCs/>
          <w:b/>
        </w:rPr>
        <w:t xml:space="preserve">Tertiary: Corporate Sustainability Teams (25%)</w:t>
      </w:r>
      <w:r>
        <w:t xml:space="preserve"> </w:t>
      </w:r>
      <w:r>
        <w:t xml:space="preserve">- Major Osaka corporations (Mitsubishi, Panasonic) demanding ESG-compliant team-building activities with marine conservation impact.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brand recognition among Osaka's tourism sector through targeted partnerships</w:t>
      </w:r>
    </w:p>
    <w:p>
      <w:pPr>
        <w:numPr>
          <w:ilvl w:val="0"/>
          <w:numId w:val="1002"/>
        </w:numPr>
        <w:pStyle w:val="Compact"/>
      </w:pPr>
      <w:r>
        <w:t xml:space="preserve">Secure 12 institutional contracts with Osaka schools/universities by Year 1</w:t>
      </w:r>
    </w:p>
    <w:p>
      <w:pPr>
        <w:numPr>
          <w:ilvl w:val="0"/>
          <w:numId w:val="1002"/>
        </w:numPr>
        <w:pStyle w:val="Compact"/>
      </w:pPr>
      <w:r>
        <w:t xml:space="preserve">Generate ¥58 million in revenue from guided tours and corporate programs by Month 24</w:t>
      </w:r>
    </w:p>
    <w:p>
      <w:pPr>
        <w:numPr>
          <w:ilvl w:val="0"/>
          <w:numId w:val="1002"/>
        </w:numPr>
        <w:pStyle w:val="Compact"/>
      </w:pPr>
      <w:r>
        <w:t xml:space="preserve">Drive 1,500+ verified social media mentions using #OsakaOceanographer hashtag</w:t>
      </w:r>
    </w:p>
    <w:bookmarkEnd w:id="23"/>
    <w:bookmarkStart w:id="24" w:name="product-strategy-osaka-centric-offerings"/>
    <w:p>
      <w:pPr>
        <w:pStyle w:val="Heading2"/>
      </w:pPr>
      <w:r>
        <w:t xml:space="preserve">Product Strategy: Osaka-Centric Offerings</w:t>
      </w:r>
    </w:p>
    <w:p>
      <w:pPr>
        <w:pStyle w:val="FirstParagraph"/>
      </w:pPr>
      <w:r>
        <w:t xml:space="preserve">Customized experiences reflecting Osaka's cultural identity:</w:t>
      </w:r>
    </w:p>
    <w:p>
      <w:pPr>
        <w:numPr>
          <w:ilvl w:val="0"/>
          <w:numId w:val="1003"/>
        </w:numPr>
        <w:pStyle w:val="Compact"/>
      </w:pPr>
      <w:r>
        <w:rPr>
          <w:bCs/>
          <w:b/>
        </w:rPr>
        <w:t xml:space="preserve">Kansai Marine Explorer Package:</w:t>
      </w:r>
      <w:r>
        <w:t xml:space="preserve"> </w:t>
      </w:r>
      <w:r>
        <w:t xml:space="preserve">Morning kayak tour in Osaka Bay with oceanographer-led analysis of industrial pollution impacts, concluding at Dotonbori for local seafood tasting (featuring sustainable catch).</w:t>
      </w:r>
    </w:p>
    <w:p>
      <w:pPr>
        <w:numPr>
          <w:ilvl w:val="0"/>
          <w:numId w:val="1003"/>
        </w:numPr>
        <w:pStyle w:val="Compact"/>
      </w:pPr>
      <w:r>
        <w:rPr>
          <w:bCs/>
          <w:b/>
        </w:rPr>
        <w:t xml:space="preserve">Osuwa Eco-Workshops:</w:t>
      </w:r>
      <w:r>
        <w:t xml:space="preserve"> </w:t>
      </w:r>
      <w:r>
        <w:t xml:space="preserve">School programs teaching "Kansai's Blue Economy" using Osaka Bay case studies, including coral restoration activities at Sumiyoshi Shrine coastal sites.</w:t>
      </w:r>
    </w:p>
    <w:p>
      <w:pPr>
        <w:numPr>
          <w:ilvl w:val="0"/>
          <w:numId w:val="1003"/>
        </w:numPr>
        <w:pStyle w:val="Compact"/>
      </w:pPr>
      <w:r>
        <w:rPr>
          <w:bCs/>
          <w:b/>
        </w:rPr>
        <w:t xml:space="preserve">Corporate Impact Trips:</w:t>
      </w:r>
      <w:r>
        <w:t xml:space="preserve"> </w:t>
      </w:r>
      <w:r>
        <w:t xml:space="preserve">Half-day sessions where teams deploy AI-powered water quality sensors in Osaka River estuaries, with real-time data shared via Oceanographer's platform to meet corporate ESG targets.</w:t>
      </w:r>
    </w:p>
    <w:bookmarkEnd w:id="24"/>
    <w:bookmarkStart w:id="25" w:name="Xb7d4728c7b7916cc50b5bdce7d16ef2f5a1961c"/>
    <w:p>
      <w:pPr>
        <w:pStyle w:val="Heading2"/>
      </w:pPr>
      <w:r>
        <w:t xml:space="preserve">Pricing Strategy: Value-Based Localization</w:t>
      </w:r>
    </w:p>
    <w:p>
      <w:pPr>
        <w:pStyle w:val="FirstParagraph"/>
      </w:pPr>
      <w:r>
        <w:t xml:space="preserve">Competitive tiered pricing reflecting Osaka's market expectations:</w:t>
      </w:r>
    </w:p>
    <w:p>
      <w:pPr>
        <w:numPr>
          <w:ilvl w:val="0"/>
          <w:numId w:val="1004"/>
        </w:numPr>
        <w:pStyle w:val="Compact"/>
      </w:pPr>
      <w:r>
        <w:rPr>
          <w:bCs/>
          <w:b/>
        </w:rPr>
        <w:t xml:space="preserve">Eco-Tourist:</w:t>
      </w:r>
      <w:r>
        <w:t xml:space="preserve"> </w:t>
      </w:r>
      <w:r>
        <w:t xml:space="preserve">¥14,800 (includes bilingual marine biologist guide, sustainable souvenir kit with Osaka Bay sea glass art)</w:t>
      </w:r>
    </w:p>
    <w:p>
      <w:pPr>
        <w:numPr>
          <w:ilvl w:val="0"/>
          <w:numId w:val="1004"/>
        </w:numPr>
        <w:pStyle w:val="Compact"/>
      </w:pPr>
      <w:r>
        <w:rPr>
          <w:bCs/>
          <w:b/>
        </w:rPr>
        <w:t xml:space="preserve">Institutional:</w:t>
      </w:r>
      <w:r>
        <w:t xml:space="preserve"> </w:t>
      </w:r>
      <w:r>
        <w:t xml:space="preserve">Tiered discounts (15% for 20+ students; 25% for annual contracts)</w:t>
      </w:r>
    </w:p>
    <w:p>
      <w:pPr>
        <w:numPr>
          <w:ilvl w:val="0"/>
          <w:numId w:val="1004"/>
        </w:numPr>
        <w:pStyle w:val="Compact"/>
      </w:pPr>
      <w:r>
        <w:rPr>
          <w:bCs/>
          <w:b/>
        </w:rPr>
        <w:t xml:space="preserve">Corporate:</w:t>
      </w:r>
      <w:r>
        <w:t xml:space="preserve"> </w:t>
      </w:r>
      <w:r>
        <w:t xml:space="preserve">Custom pricing (starting at ¥850,000/session) with integrated sustainability reports aligned to Osaka's "Carbon Neutrality" initiative</w:t>
      </w:r>
    </w:p>
    <w:p>
      <w:pPr>
        <w:pStyle w:val="FirstParagraph"/>
      </w:pPr>
      <w:r>
        <w:t xml:space="preserve">*All prices include Osaka Prefecture environmental tax (4.6%) and exclude 10% service fee.*</w:t>
      </w:r>
    </w:p>
    <w:bookmarkEnd w:id="25"/>
    <w:bookmarkStart w:id="26" w:name="place-distribution-hyper-local-logistics"/>
    <w:p>
      <w:pPr>
        <w:pStyle w:val="Heading2"/>
      </w:pPr>
      <w:r>
        <w:t xml:space="preserve">Place &amp; Distribution: Hyper-Local Logistics</w:t>
      </w:r>
    </w:p>
    <w:p>
      <w:pPr>
        <w:pStyle w:val="FirstParagraph"/>
      </w:pPr>
      <w:r>
        <w:t xml:space="preserve">Strategic Osaka partnerships ensure seamless operations:</w:t>
      </w:r>
    </w:p>
    <w:p>
      <w:pPr>
        <w:numPr>
          <w:ilvl w:val="0"/>
          <w:numId w:val="1005"/>
        </w:numPr>
        <w:pStyle w:val="Compact"/>
      </w:pPr>
      <w:r>
        <w:rPr>
          <w:bCs/>
          <w:b/>
        </w:rPr>
        <w:t xml:space="preserve">Physical Hubs:</w:t>
      </w:r>
      <w:r>
        <w:t xml:space="preserve"> </w:t>
      </w:r>
      <w:r>
        <w:t xml:space="preserve">Partner with Kuromon Market vendors for pre-tour "Osaka Seafood Tasting" add-ons; lease space at Namba Yasaka Shrine for seasonal workshops.</w:t>
      </w:r>
    </w:p>
    <w:p>
      <w:pPr>
        <w:numPr>
          <w:ilvl w:val="0"/>
          <w:numId w:val="1005"/>
        </w:numPr>
        <w:pStyle w:val="Compact"/>
      </w:pPr>
      <w:r>
        <w:rPr>
          <w:bCs/>
          <w:b/>
        </w:rPr>
        <w:t xml:space="preserve">Digital Channels:</w:t>
      </w:r>
      <w:r>
        <w:t xml:space="preserve"> </w:t>
      </w:r>
      <w:r>
        <w:t xml:space="preserve">App integration with Osaka Tourist Association's "Osaka Go" platform; QR codes on all Osaka subway ads linking to Oceanographer experiences.</w:t>
      </w:r>
    </w:p>
    <w:p>
      <w:pPr>
        <w:numPr>
          <w:ilvl w:val="0"/>
          <w:numId w:val="1005"/>
        </w:numPr>
        <w:pStyle w:val="Compact"/>
      </w:pPr>
      <w:r>
        <w:rPr>
          <w:bCs/>
          <w:b/>
        </w:rPr>
        <w:t xml:space="preserve">Logistics:</w:t>
      </w:r>
      <w:r>
        <w:t xml:space="preserve"> </w:t>
      </w:r>
      <w:r>
        <w:t xml:space="preserve">Use Osaka-based electric boats (partnering with Higashiosaka Shipbuilding) for zero-emission tours, avoiding fuel surcharges common in tourist zones.</w:t>
      </w:r>
    </w:p>
    <w:bookmarkEnd w:id="26"/>
    <w:bookmarkStart w:id="27" w:name="promotion-cultural-integrated-campaigns"/>
    <w:p>
      <w:pPr>
        <w:pStyle w:val="Heading2"/>
      </w:pPr>
      <w:r>
        <w:t xml:space="preserve">Promotion: Cultural-Integrated Campaigns</w:t>
      </w:r>
    </w:p>
    <w:p>
      <w:pPr>
        <w:pStyle w:val="FirstParagraph"/>
      </w:pPr>
      <w:r>
        <w:t xml:space="preserve">Zero-gravity marketing tactics blending Osaka's traditions with ocean conservation:</w:t>
      </w:r>
    </w:p>
    <w:p>
      <w:pPr>
        <w:numPr>
          <w:ilvl w:val="0"/>
          <w:numId w:val="1006"/>
        </w:numPr>
        <w:pStyle w:val="Compact"/>
      </w:pPr>
      <w:r>
        <w:rPr>
          <w:bCs/>
          <w:b/>
        </w:rPr>
        <w:t xml:space="preserve">"Kanpai for the Ocean" Event:</w:t>
      </w:r>
      <w:r>
        <w:t xml:space="preserve"> </w:t>
      </w:r>
      <w:r>
        <w:t xml:space="preserve">Collaborate with Osaka's 1,200+ izakayas to serve limited-edition "Oceanographer Sake" (5% of proceeds fund coral restoration) during New Year celebrations.</w:t>
      </w:r>
    </w:p>
    <w:p>
      <w:pPr>
        <w:numPr>
          <w:ilvl w:val="0"/>
          <w:numId w:val="1006"/>
        </w:numPr>
        <w:pStyle w:val="Compact"/>
      </w:pPr>
      <w:r>
        <w:rPr>
          <w:bCs/>
          <w:b/>
        </w:rPr>
        <w:t xml:space="preserve">Sumo Wrestler Ambassador Program:</w:t>
      </w:r>
      <w:r>
        <w:t xml:space="preserve"> </w:t>
      </w:r>
      <w:r>
        <w:t xml:space="preserve">Partner with Osaka-based sumo stables (e.g., Isegahama stable) for "Sumo &amp; Sea" wellness workshops where athletes discuss ecosystem balance parallels.</w:t>
      </w:r>
    </w:p>
    <w:p>
      <w:pPr>
        <w:numPr>
          <w:ilvl w:val="0"/>
          <w:numId w:val="1006"/>
        </w:numPr>
        <w:pStyle w:val="Compact"/>
      </w:pPr>
      <w:r>
        <w:rPr>
          <w:bCs/>
          <w:b/>
        </w:rPr>
        <w:t xml:space="preserve">Local Influencer Network:</w:t>
      </w:r>
      <w:r>
        <w:t xml:space="preserve"> </w:t>
      </w:r>
      <w:r>
        <w:t xml:space="preserve">Engage Osaka-born creators like @OsakaDive (250k followers) for authentic "Marine Science in Kansai" vlogs featuring Oceanographer experiences.</w:t>
      </w:r>
    </w:p>
    <w:bookmarkEnd w:id="27"/>
    <w:bookmarkStart w:id="28" w:name="budget-allocation-roi-projections"/>
    <w:p>
      <w:pPr>
        <w:pStyle w:val="Heading2"/>
      </w:pPr>
      <w:r>
        <w:t xml:space="preserve">Budget Allocation &amp; ROI Projections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Expected ROI (Month 18)</w:t>
            </w:r>
          </w:p>
        </w:tc>
      </w:tr>
      <w:tr>
        <w:tc>
          <w:tcPr/>
          <w:p>
            <w:pPr>
              <w:pStyle w:val="Compact"/>
              <w:jc w:val="left"/>
            </w:pPr>
            <w:r>
              <w:t xml:space="preserve">Influencer Partnerships &amp; Local Events</w:t>
            </w:r>
          </w:p>
        </w:tc>
        <w:tc>
          <w:tcPr/>
          <w:p>
            <w:pPr>
              <w:pStyle w:val="Compact"/>
              <w:jc w:val="left"/>
            </w:pPr>
            <w:r>
              <w:t xml:space="preserve">23,500,000</w:t>
            </w:r>
          </w:p>
        </w:tc>
        <w:tc>
          <w:tcPr/>
          <w:p>
            <w:pPr>
              <w:pStyle w:val="Compact"/>
              <w:jc w:val="left"/>
            </w:pPr>
            <w:r>
              <w:t xml:space="preserve">¥92,875,643 (3.9x)</w:t>
            </w:r>
          </w:p>
        </w:tc>
      </w:tr>
      <w:tr>
        <w:tc>
          <w:tcPr/>
          <w:p>
            <w:pPr>
              <w:pStyle w:val="Compact"/>
              <w:jc w:val="left"/>
            </w:pPr>
            <w:r>
              <w:t xml:space="preserve">Institutional Program Development</w:t>
            </w:r>
          </w:p>
        </w:tc>
        <w:tc>
          <w:tcPr/>
          <w:p>
            <w:pPr>
              <w:pStyle w:val="Compact"/>
              <w:jc w:val="left"/>
            </w:pPr>
            <w:r>
              <w:t xml:space="preserve">18,750,000</w:t>
            </w:r>
          </w:p>
        </w:tc>
        <w:tc>
          <w:tcPr/>
          <w:p>
            <w:pPr>
              <w:pStyle w:val="Compact"/>
              <w:jc w:val="left"/>
            </w:pPr>
            <w:r>
              <w:t xml:space="preserve">¥46,231,928 (2.5x)</w:t>
            </w:r>
          </w:p>
        </w:tc>
      </w:tr>
      <w:tr>
        <w:tc>
          <w:tcPr/>
          <w:p>
            <w:pPr>
              <w:pStyle w:val="Compact"/>
              <w:jc w:val="left"/>
            </w:pPr>
            <w:r>
              <w:t xml:space="preserve">Digital Platform Localization</w:t>
            </w:r>
          </w:p>
        </w:tc>
        <w:tc>
          <w:tcPr/>
          <w:p>
            <w:pPr>
              <w:pStyle w:val="Compact"/>
              <w:jc w:val="left"/>
            </w:pPr>
            <w:r>
              <w:t xml:space="preserve">9,200,000</w:t>
            </w:r>
          </w:p>
        </w:tc>
        <w:tc>
          <w:tcPr/>
          <w:p>
            <w:pPr>
              <w:pStyle w:val="Compact"/>
              <w:jc w:val="left"/>
            </w:pPr>
            <w:r>
              <w:t xml:space="preserve">¥37,456,184 (4.1x)</w:t>
            </w:r>
          </w:p>
        </w:tc>
      </w:tr>
      <w:tr>
        <w:tc>
          <w:tcPr/>
          <w:p>
            <w:pPr>
              <w:pStyle w:val="Compact"/>
              <w:jc w:val="left"/>
            </w:pPr>
            <w:r>
              <w:t xml:space="preserve">Total Investment</w:t>
            </w:r>
          </w:p>
        </w:tc>
        <w:tc>
          <w:tcPr/>
          <w:p>
            <w:pPr>
              <w:pStyle w:val="Compact"/>
              <w:jc w:val="left"/>
            </w:pPr>
            <w:r>
              <w:rPr>
                <w:bCs/>
                <w:b/>
              </w:rPr>
              <w:t xml:space="preserve">51,450,000</w:t>
            </w:r>
          </w:p>
        </w:tc>
        <w:tc>
          <w:tcPr/>
          <w:p>
            <w:pPr>
              <w:pStyle w:val="Compact"/>
              <w:jc w:val="left"/>
            </w:pPr>
            <w:r>
              <w:rPr>
                <w:bCs/>
                <w:b/>
              </w:rPr>
              <w:t xml:space="preserve">¥176,563,755 (3.4x)</w:t>
            </w:r>
          </w:p>
        </w:tc>
      </w:tr>
    </w:tbl>
    <w:bookmarkEnd w:id="28"/>
    <w:bookmarkStart w:id="29" w:name="X61686be0b4906a9da1bb8d4a7ec15f187ef5f53"/>
    <w:p>
      <w:pPr>
        <w:pStyle w:val="Heading2"/>
      </w:pPr>
      <w:r>
        <w:t xml:space="preserve">Risk Mitigation: Osaka-Specific Contingencies</w:t>
      </w:r>
    </w:p>
    <w:p>
      <w:pPr>
        <w:numPr>
          <w:ilvl w:val="0"/>
          <w:numId w:val="1007"/>
        </w:numPr>
        <w:pStyle w:val="Compact"/>
      </w:pPr>
      <w:r>
        <w:rPr>
          <w:bCs/>
          <w:b/>
        </w:rPr>
        <w:t xml:space="preserve">Seasonality Risk:</w:t>
      </w:r>
      <w:r>
        <w:t xml:space="preserve"> </w:t>
      </w:r>
      <w:r>
        <w:t xml:space="preserve">Pre-sell "Winter Oceanography" package (February-March) featuring whale-watching near Awaji Island during low tourist season.</w:t>
      </w:r>
    </w:p>
    <w:p>
      <w:pPr>
        <w:numPr>
          <w:ilvl w:val="0"/>
          <w:numId w:val="1007"/>
        </w:numPr>
        <w:pStyle w:val="Compact"/>
      </w:pPr>
      <w:r>
        <w:rPr>
          <w:bCs/>
          <w:b/>
        </w:rPr>
        <w:t xml:space="preserve">Cultural Misalignment:</w:t>
      </w:r>
      <w:r>
        <w:t xml:space="preserve"> </w:t>
      </w:r>
      <w:r>
        <w:t xml:space="preserve">All materials reviewed by Osaka University cultural anthropologists; Japanese-speaking marine biologists as primary guides.</w:t>
      </w:r>
    </w:p>
    <w:p>
      <w:pPr>
        <w:numPr>
          <w:ilvl w:val="0"/>
          <w:numId w:val="1007"/>
        </w:numPr>
        <w:pStyle w:val="Compact"/>
      </w:pPr>
      <w:r>
        <w:rPr>
          <w:bCs/>
          <w:b/>
        </w:rPr>
        <w:t xml:space="preserve">Regulatory Compliance:</w:t>
      </w:r>
      <w:r>
        <w:t xml:space="preserve"> </w:t>
      </w:r>
      <w:r>
        <w:t xml:space="preserve">Partner with Osaka Prefecture's Environmental Agency for certified "Blue Tourism" status, avoiding bureaucratic delays.</w:t>
      </w:r>
    </w:p>
    <w:bookmarkEnd w:id="29"/>
    <w:bookmarkStart w:id="30" w:name="X152cfde938a6478f65caf60fca0eb082b9d49cc"/>
    <w:p>
      <w:pPr>
        <w:pStyle w:val="Heading2"/>
      </w:pPr>
      <w:r>
        <w:t xml:space="preserve">Conclusion: Oceanographer as Osaka's Marine Guardian</w:t>
      </w:r>
    </w:p>
    <w:p>
      <w:pPr>
        <w:pStyle w:val="FirstParagraph"/>
      </w:pPr>
      <w:r>
        <w:t xml:space="preserve">The Oceanographer strategy transcends tourism—it positions the brand as an indispensable partner in Osaka's ecological narrative. By embedding marine conservation into the fabric of Kansai culture through hyper-localized experiences, we create measurable environmental impact while building a self-sustaining revenue model. As Osaka accelerates toward its 2030 carbon neutrality target, Oceanographer won't just operate in the city—we will become synonymous with its living coastline. This plan delivers not only market share but legacy: transforming Osaka from a destination into an ocean-conscious community where every visitor leaves as a steward of the Seto Inland Sea.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Osaka Market Strategy</dc:title>
  <dc:creator/>
  <dc:language>en</dc:language>
  <cp:keywords/>
  <dcterms:created xsi:type="dcterms:W3CDTF">2026-07-23T08:05:27Z</dcterms:created>
  <dcterms:modified xsi:type="dcterms:W3CDTF">2026-07-23T08:05:27Z</dcterms:modified>
</cp:coreProperties>
</file>

<file path=docProps/custom.xml><?xml version="1.0" encoding="utf-8"?>
<Properties xmlns="http://schemas.openxmlformats.org/officeDocument/2006/custom-properties" xmlns:vt="http://schemas.openxmlformats.org/officeDocument/2006/docPropsVTypes"/>
</file>