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31" w:name="X5eed6573c482402919bc82ea24c1dd3d21d4da3"/>
    <w:p>
      <w:pPr>
        <w:pStyle w:val="Heading1"/>
      </w:pPr>
      <w:r>
        <w:t xml:space="preserve">Comprehensive Marketing Plan for Oceanographer: Targeting Saint Petersburg, Russia</w:t>
      </w:r>
    </w:p>
    <w:bookmarkStart w:id="20" w:name="executive-summary"/>
    <w:p>
      <w:pPr>
        <w:pStyle w:val="Heading2"/>
      </w:pPr>
      <w:r>
        <w:t xml:space="preserve">Executive Summary</w:t>
      </w:r>
    </w:p>
    <w:p>
      <w:pPr>
        <w:pStyle w:val="FirstParagraph"/>
      </w:pPr>
      <w:r>
        <w:t xml:space="preserve">This strategic marketing plan outlines the entry and growth approach for</w:t>
      </w:r>
      <w:r>
        <w:t xml:space="preserve"> </w:t>
      </w:r>
      <w:r>
        <w:rPr>
          <w:bCs/>
          <w:b/>
        </w:rPr>
        <w:t xml:space="preserve">Oceanographer</w:t>
      </w:r>
      <w:r>
        <w:t xml:space="preserve">, a premium marine education and eco-tourism provider, into the Saint Petersburg market. Leveraging Russia's second-largest city as a cultural, academic, and tourism hub with direct Baltic Sea access, this plan positions</w:t>
      </w:r>
      <w:r>
        <w:t xml:space="preserve"> </w:t>
      </w:r>
      <w:r>
        <w:rPr>
          <w:bCs/>
          <w:b/>
        </w:rPr>
        <w:t xml:space="preserve">Oceanographer</w:t>
      </w:r>
      <w:r>
        <w:t xml:space="preserve"> </w:t>
      </w:r>
      <w:r>
        <w:t xml:space="preserve">to capture emerging demand for sustainable ocean experiences. With Saint Petersburg's rich maritime heritage and growing environmental consciousness among residents and tourists, our 18-month initiative targets 35% market penetration in the educational eco-tourism segment by Year 2. The strategy integrates local partnerships, digital precision targeting, and culturally resonant messaging to establish</w:t>
      </w:r>
      <w:r>
        <w:t xml:space="preserve"> </w:t>
      </w:r>
      <w:r>
        <w:rPr>
          <w:bCs/>
          <w:b/>
        </w:rPr>
        <w:t xml:space="preserve">Oceanographer</w:t>
      </w:r>
      <w:r>
        <w:t xml:space="preserve"> </w:t>
      </w:r>
      <w:r>
        <w:t xml:space="preserve">as Russia's premier ocean literacy brand.</w:t>
      </w:r>
    </w:p>
    <w:bookmarkEnd w:id="20"/>
    <w:bookmarkStart w:id="21" w:name="Xec75a64ba9bf16834be774c5dd62adeeb20d295"/>
    <w:p>
      <w:pPr>
        <w:pStyle w:val="Heading2"/>
      </w:pPr>
      <w:r>
        <w:t xml:space="preserve">Situation Analysis: Saint Petersburg Market Context</w:t>
      </w:r>
    </w:p>
    <w:p>
      <w:pPr>
        <w:pStyle w:val="FirstParagraph"/>
      </w:pPr>
      <w:r>
        <w:t xml:space="preserve">Saint Petersburg offers unique advantages for</w:t>
      </w:r>
      <w:r>
        <w:t xml:space="preserve"> </w:t>
      </w:r>
      <w:r>
        <w:rPr>
          <w:bCs/>
          <w:b/>
        </w:rPr>
        <w:t xml:space="preserve">Oceanographer</w:t>
      </w:r>
      <w:r>
        <w:t xml:space="preserve">'s entry. As a UNESCO Creative City of Music and home to the Russian Academy of Sciences' Marine Research Institute, the city combines academic rigor with high tourist volumes (over 10 million annual visitors). Current market gaps include: limited English-Russian bilingual marine education programs, scarce sustainable Baltic Sea tourism options, and minimal corporate sustainability partnerships in local shipping/logistics sectors. Competitors like</w:t>
      </w:r>
      <w:r>
        <w:t xml:space="preserve"> </w:t>
      </w:r>
      <w:r>
        <w:rPr>
          <w:iCs/>
          <w:i/>
        </w:rPr>
        <w:t xml:space="preserve">Sea Voyages Russia</w:t>
      </w:r>
      <w:r>
        <w:t xml:space="preserve"> </w:t>
      </w:r>
      <w:r>
        <w:t xml:space="preserve">focus on generic cruises without educational depth, while academic institutions lack commercial tourist-facing services. This creates a clear opportunity for</w:t>
      </w:r>
      <w:r>
        <w:t xml:space="preserve"> </w:t>
      </w:r>
      <w:r>
        <w:rPr>
          <w:bCs/>
          <w:b/>
        </w:rPr>
        <w:t xml:space="preserve">Oceanographer</w:t>
      </w:r>
      <w:r>
        <w:t xml:space="preserve">'s dual-value proposition: experiential learning for students and immersive eco-adventures for travelers.</w:t>
      </w:r>
    </w:p>
    <w:bookmarkEnd w:id="21"/>
    <w:bookmarkStart w:id="22" w:name="Xf314b74f793dbad3e458595d4439ab46bfccb43"/>
    <w:p>
      <w:pPr>
        <w:pStyle w:val="Heading2"/>
      </w:pPr>
      <w:r>
        <w:t xml:space="preserve">Target Audience Segmentation in Saint Petersburg</w:t>
      </w:r>
    </w:p>
    <w:p>
      <w:pPr>
        <w:numPr>
          <w:ilvl w:val="0"/>
          <w:numId w:val="1001"/>
        </w:numPr>
        <w:pStyle w:val="Compact"/>
      </w:pPr>
      <w:r>
        <w:rPr>
          <w:bCs/>
          <w:b/>
        </w:rPr>
        <w:t xml:space="preserve">Academic Institutions (45% focus)</w:t>
      </w:r>
      <w:r>
        <w:t xml:space="preserve">: 37 universities including St. Petersburg State University with marine biology departments. Primary need: Curriculum-aligned field trips meeting Russian Federal Education Standards (ФГОС).</w:t>
      </w:r>
    </w:p>
    <w:p>
      <w:pPr>
        <w:numPr>
          <w:ilvl w:val="0"/>
          <w:numId w:val="1001"/>
        </w:numPr>
        <w:pStyle w:val="Compact"/>
      </w:pPr>
      <w:r>
        <w:rPr>
          <w:bCs/>
          <w:b/>
        </w:rPr>
        <w:t xml:space="preserve">International Tourists (35% focus)</w:t>
      </w:r>
      <w:r>
        <w:t xml:space="preserve">: 68% of visitors to Saint Petersburg seek "cultural immersion" experiences (2023 Visit Russia Report). Baltic Sea eco-tourism is underserved, with only 12% of cruise passengers opting for marine-focused activities.</w:t>
      </w:r>
    </w:p>
    <w:p>
      <w:pPr>
        <w:numPr>
          <w:ilvl w:val="0"/>
          <w:numId w:val="1001"/>
        </w:numPr>
        <w:pStyle w:val="Compact"/>
      </w:pPr>
      <w:r>
        <w:rPr>
          <w:bCs/>
          <w:b/>
        </w:rPr>
        <w:t xml:space="preserve">Corporate Sustainability Clients (20% focus)</w:t>
      </w:r>
      <w:r>
        <w:t xml:space="preserve">: Petrovka Shipping, Baltic LNG Terminal, and Maersk offices require ESG-compliant employee engagement programs.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Achieve 50+ signed MOUs with schools, secure 3 corporate contracts, and launch bilingual (Russian/English) digital campaigns reaching 1.2M Saint Petersburg residents.</w:t>
      </w:r>
    </w:p>
    <w:p>
      <w:pPr>
        <w:numPr>
          <w:ilvl w:val="0"/>
          <w:numId w:val="1002"/>
        </w:numPr>
        <w:pStyle w:val="Compact"/>
      </w:pPr>
      <w:r>
        <w:rPr>
          <w:bCs/>
          <w:b/>
        </w:rPr>
        <w:t xml:space="preserve">Mid-term (7-12 months)</w:t>
      </w:r>
      <w:r>
        <w:t xml:space="preserve">: Capture 25% market share in educational marine tourism; exceed 40% repeat customer rate via loyalty program.</w:t>
      </w:r>
    </w:p>
    <w:p>
      <w:pPr>
        <w:numPr>
          <w:ilvl w:val="0"/>
          <w:numId w:val="1002"/>
        </w:numPr>
        <w:pStyle w:val="Compact"/>
      </w:pPr>
      <w:r>
        <w:rPr>
          <w:bCs/>
          <w:b/>
        </w:rPr>
        <w:t xml:space="preserve">Long-term (13-18 months)</w:t>
      </w:r>
      <w:r>
        <w:t xml:space="preserve">: Establish</w:t>
      </w:r>
      <w:r>
        <w:t xml:space="preserve"> </w:t>
      </w:r>
      <w:r>
        <w:rPr>
          <w:bCs/>
          <w:b/>
        </w:rPr>
        <w:t xml:space="preserve">Oceanographer</w:t>
      </w:r>
      <w:r>
        <w:t xml:space="preserve"> </w:t>
      </w:r>
      <w:r>
        <w:t xml:space="preserve">as the default ocean education partner for all major Saint Petersburg universities; expand to Helsinki co-branded tours.</w:t>
      </w:r>
    </w:p>
    <w:bookmarkEnd w:id="23"/>
    <w:bookmarkStart w:id="27" w:name="X9125119750799aa1a408509865f1592a44770a1"/>
    <w:p>
      <w:pPr>
        <w:pStyle w:val="Heading2"/>
      </w:pPr>
      <w:r>
        <w:t xml:space="preserve">Strategic Tactics for Russia Saint Petersburg Market</w:t>
      </w:r>
    </w:p>
    <w:bookmarkStart w:id="24" w:name="localized-product-adaptation"/>
    <w:p>
      <w:pPr>
        <w:pStyle w:val="Heading3"/>
      </w:pPr>
      <w:r>
        <w:t xml:space="preserve">Localized Product Adaptation</w:t>
      </w:r>
    </w:p>
    <w:p>
      <w:pPr>
        <w:pStyle w:val="FirstParagraph"/>
      </w:pPr>
      <w:r>
        <w:rPr>
          <w:bCs/>
          <w:b/>
        </w:rPr>
        <w:t xml:space="preserve">Oceanographer</w:t>
      </w:r>
      <w:r>
        <w:t xml:space="preserve">'s core offerings are tailored to Saint Petersburg's context:</w:t>
      </w:r>
    </w:p>
    <w:p>
      <w:pPr>
        <w:numPr>
          <w:ilvl w:val="0"/>
          <w:numId w:val="1003"/>
        </w:numPr>
        <w:pStyle w:val="Compact"/>
      </w:pPr>
      <w:r>
        <w:rPr>
          <w:iCs/>
          <w:i/>
        </w:rPr>
        <w:t xml:space="preserve">Baltic Explorer Tour (For tourists)</w:t>
      </w:r>
      <w:r>
        <w:t xml:space="preserve">: 4-hour eco-cruises aboard electric vessels from St. Petersburg’s Kronstadt Harbor, featuring live plankton analysis and discussions on the Baltic Sea’s unique "Dead Zone" challenges. Includes Russian-language narration with English subtitles.</w:t>
      </w:r>
    </w:p>
    <w:p>
      <w:pPr>
        <w:numPr>
          <w:ilvl w:val="0"/>
          <w:numId w:val="1003"/>
        </w:numPr>
        <w:pStyle w:val="Compact"/>
      </w:pPr>
      <w:r>
        <w:rPr>
          <w:iCs/>
          <w:i/>
        </w:rPr>
        <w:t xml:space="preserve">University Partnership Program</w:t>
      </w:r>
      <w:r>
        <w:t xml:space="preserve">: Customized modules aligning with Saint Petersburg State University's marine science curriculum (e.g., "Baltic Ecosystem Monitoring Fieldwork"). All materials translated into Russian by local academic partners.</w:t>
      </w:r>
    </w:p>
    <w:p>
      <w:pPr>
        <w:numPr>
          <w:ilvl w:val="0"/>
          <w:numId w:val="1003"/>
        </w:numPr>
        <w:pStyle w:val="Compact"/>
      </w:pPr>
      <w:r>
        <w:rPr>
          <w:iCs/>
          <w:i/>
        </w:rPr>
        <w:t xml:space="preserve">Corporate Ocean Stewardship Workshops</w:t>
      </w:r>
      <w:r>
        <w:t xml:space="preserve">: 3-hour sessions for companies like Sberbank Logistics on maritime sustainability metrics, delivered in Russian with case studies from Saint Petersburg’s port operations.</w:t>
      </w:r>
    </w:p>
    <w:bookmarkEnd w:id="24"/>
    <w:bookmarkStart w:id="25" w:name="hyper-local-promotion-strategy"/>
    <w:p>
      <w:pPr>
        <w:pStyle w:val="Heading3"/>
      </w:pPr>
      <w:r>
        <w:t xml:space="preserve">Hyper-Local Promotion Strategy</w:t>
      </w:r>
    </w:p>
    <w:p>
      <w:pPr>
        <w:pStyle w:val="FirstParagraph"/>
      </w:pPr>
      <w:r>
        <w:t xml:space="preserve">All campaigns leverage Saint Petersburg’s cultural identity:</w:t>
      </w:r>
    </w:p>
    <w:p>
      <w:pPr>
        <w:numPr>
          <w:ilvl w:val="0"/>
          <w:numId w:val="1004"/>
        </w:numPr>
        <w:pStyle w:val="Compact"/>
      </w:pPr>
      <w:r>
        <w:rPr>
          <w:bCs/>
          <w:b/>
        </w:rPr>
        <w:t xml:space="preserve">Partnership Ecosystem</w:t>
      </w:r>
      <w:r>
        <w:t xml:space="preserve">: Co-branded events with the Hermitage Museum (e.g., "Ocean Art &amp; Science" exhibits) and Russian Geographical Society. Exclusive access for Hermitage members to maritime history exhibits.</w:t>
      </w:r>
    </w:p>
    <w:p>
      <w:pPr>
        <w:numPr>
          <w:ilvl w:val="0"/>
          <w:numId w:val="1004"/>
        </w:numPr>
        <w:pStyle w:val="Compact"/>
      </w:pPr>
      <w:r>
        <w:rPr>
          <w:bCs/>
          <w:b/>
        </w:rPr>
        <w:t xml:space="preserve">Digital Precision Targeting</w:t>
      </w:r>
      <w:r>
        <w:t xml:space="preserve">: Geo-fenced Instagram/Facebook ads in Saint Petersburg targeting users interested in "Baltic Sea," "marine biology," or "eco-tourism" within a 50km radius. Content features local influencers like @StPetersburgExplorer (120k followers) doing live Baltic Sea cleanups.</w:t>
      </w:r>
    </w:p>
    <w:p>
      <w:pPr>
        <w:numPr>
          <w:ilvl w:val="0"/>
          <w:numId w:val="1004"/>
        </w:numPr>
        <w:pStyle w:val="Compact"/>
      </w:pPr>
      <w:r>
        <w:rPr>
          <w:bCs/>
          <w:b/>
        </w:rPr>
        <w:t xml:space="preserve">Academic Integration</w:t>
      </w:r>
      <w:r>
        <w:t xml:space="preserve">: Free pilot programs at 5 top schools in exchange for curriculum development input, creating organic testimonials from educators.</w:t>
      </w:r>
    </w:p>
    <w:p>
      <w:pPr>
        <w:numPr>
          <w:ilvl w:val="0"/>
          <w:numId w:val="1004"/>
        </w:numPr>
        <w:pStyle w:val="Compact"/>
      </w:pPr>
      <w:r>
        <w:rPr>
          <w:bCs/>
          <w:b/>
        </w:rPr>
        <w:t xml:space="preserve">Event Strategy</w:t>
      </w:r>
      <w:r>
        <w:t xml:space="preserve">: "Saint Petersburg Ocean Summit" (May 2025) at the City Hall – free public lecture by a Russian marine scientist followed by guided Kronstadt tours. Media coverage secured with local press like</w:t>
      </w:r>
      <w:r>
        <w:t xml:space="preserve"> </w:t>
      </w:r>
      <w:r>
        <w:rPr>
          <w:iCs/>
          <w:i/>
        </w:rPr>
        <w:t xml:space="preserve">Peterburg.ru</w:t>
      </w:r>
      <w:r>
        <w:t xml:space="preserve">.</w:t>
      </w:r>
    </w:p>
    <w:bookmarkEnd w:id="25"/>
    <w:bookmarkStart w:id="26" w:name="cultural-localization"/>
    <w:p>
      <w:pPr>
        <w:pStyle w:val="Heading3"/>
      </w:pPr>
      <w:r>
        <w:t xml:space="preserve">Cultural Localization</w:t>
      </w:r>
    </w:p>
    <w:p>
      <w:pPr>
        <w:pStyle w:val="FirstParagraph"/>
      </w:pPr>
      <w:r>
        <w:t xml:space="preserve">Content avoids Western-centric ocean narratives, emphasizing:</w:t>
      </w:r>
    </w:p>
    <w:p>
      <w:pPr>
        <w:numPr>
          <w:ilvl w:val="0"/>
          <w:numId w:val="1005"/>
        </w:numPr>
        <w:pStyle w:val="Compact"/>
      </w:pPr>
      <w:r>
        <w:t xml:space="preserve">Baltic Sea-specific conservation challenges (e.g., "Protecting Saint Petersburg's Beloved Whitefish")</w:t>
      </w:r>
    </w:p>
    <w:p>
      <w:pPr>
        <w:numPr>
          <w:ilvl w:val="0"/>
          <w:numId w:val="1005"/>
        </w:numPr>
        <w:pStyle w:val="Compact"/>
      </w:pPr>
      <w:r>
        <w:t xml:space="preserve">Historical ties: Connections to Peter the Great’s naval academy and 18th-century Baltic explorers</w:t>
      </w:r>
    </w:p>
    <w:p>
      <w:pPr>
        <w:numPr>
          <w:ilvl w:val="0"/>
          <w:numId w:val="1005"/>
        </w:numPr>
        <w:pStyle w:val="Compact"/>
      </w:pPr>
      <w:r>
        <w:t xml:space="preserve">Language: All materials use Russian formal business terminology ("водные ресурсы" not "ocean resources") with no direct English translations.</w:t>
      </w:r>
    </w:p>
    <w:bookmarkEnd w:id="26"/>
    <w:bookmarkEnd w:id="27"/>
    <w:bookmarkStart w:id="28" w:name="budget-allocation-total-420000"/>
    <w:p>
      <w:pPr>
        <w:pStyle w:val="Heading2"/>
      </w:pPr>
      <w:r>
        <w:t xml:space="preserve">Budget Allocation (Total: $420,000)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Partnerships (Hermitage, Universities)</w:t>
            </w:r>
          </w:p>
        </w:tc>
        <w:tc>
          <w:tcPr/>
          <w:p>
            <w:pPr>
              <w:pStyle w:val="Compact"/>
              <w:jc w:val="left"/>
            </w:pPr>
            <w:r>
              <w:t xml:space="preserve">$125,000</w:t>
            </w:r>
          </w:p>
        </w:tc>
        <w:tc>
          <w:tcPr/>
          <w:p>
            <w:pPr>
              <w:pStyle w:val="Compact"/>
              <w:jc w:val="left"/>
            </w:pPr>
            <w:r>
              <w:t xml:space="preserve">Critical for credibility and access; includes 15% budget for co-marketing events.</w:t>
            </w:r>
          </w:p>
        </w:tc>
      </w:tr>
      <w:tr>
        <w:tc>
          <w:tcPr/>
          <w:p>
            <w:pPr>
              <w:pStyle w:val="Compact"/>
              <w:jc w:val="left"/>
            </w:pPr>
            <w:r>
              <w:t xml:space="preserve">Digital Campaigns (Geo-targeted ads)</w:t>
            </w:r>
          </w:p>
        </w:tc>
        <w:tc>
          <w:tcPr/>
          <w:p>
            <w:pPr>
              <w:pStyle w:val="Compact"/>
              <w:jc w:val="left"/>
            </w:pPr>
            <w:r>
              <w:t xml:space="preserve">$98,000</w:t>
            </w:r>
          </w:p>
        </w:tc>
        <w:tc>
          <w:tcPr/>
          <w:p>
            <w:pPr>
              <w:pStyle w:val="Compact"/>
              <w:jc w:val="left"/>
            </w:pPr>
            <w:r>
              <w:t xml:space="preserve">Optimized for Saint Petersburg’s high smartphone penetration (89%) and social media usage.</w:t>
            </w:r>
          </w:p>
        </w:tc>
      </w:tr>
      <w:tr>
        <w:tc>
          <w:tcPr/>
          <w:p>
            <w:pPr>
              <w:pStyle w:val="Compact"/>
              <w:jc w:val="left"/>
            </w:pPr>
            <w:r>
              <w:t xml:space="preserve">Localized Content Production</w:t>
            </w:r>
          </w:p>
        </w:tc>
        <w:tc>
          <w:tcPr/>
          <w:p>
            <w:pPr>
              <w:pStyle w:val="Compact"/>
              <w:jc w:val="left"/>
            </w:pPr>
            <w:r>
              <w:t xml:space="preserve">$72,000</w:t>
            </w:r>
          </w:p>
        </w:tc>
        <w:tc>
          <w:tcPr/>
          <w:p>
            <w:pPr>
              <w:pStyle w:val="Compact"/>
              <w:jc w:val="left"/>
            </w:pPr>
            <w:r>
              <w:t xml:space="preserve">Russian-language materials with Saint Petersburg cultural references; avoids costly Western-centric templates.</w:t>
            </w:r>
          </w:p>
        </w:tc>
      </w:tr>
      <w:tr>
        <w:tc>
          <w:tcPr/>
          <w:p>
            <w:pPr>
              <w:pStyle w:val="Compact"/>
              <w:jc w:val="left"/>
            </w:pPr>
            <w:r>
              <w:t xml:space="preserve">Event Marketing (Ocean Summit)</w:t>
            </w:r>
          </w:p>
        </w:tc>
        <w:tc>
          <w:tcPr/>
          <w:p>
            <w:pPr>
              <w:pStyle w:val="Compact"/>
              <w:jc w:val="left"/>
            </w:pPr>
            <w:r>
              <w:t xml:space="preserve">$65,000</w:t>
            </w:r>
          </w:p>
        </w:tc>
        <w:tc>
          <w:tcPr/>
          <w:p>
            <w:pPr>
              <w:pStyle w:val="Compact"/>
              <w:jc w:val="left"/>
            </w:pPr>
            <w:r>
              <w:t xml:space="preserve">High-impact public visibility in city center.</w:t>
            </w:r>
          </w:p>
        </w:tc>
      </w:tr>
      <w:tr>
        <w:tc>
          <w:tcPr/>
          <w:p>
            <w:pPr>
              <w:pStyle w:val="Compact"/>
              <w:jc w:val="left"/>
            </w:pPr>
            <w:r>
              <w:t xml:space="preserve">Corporate Sales Team</w:t>
            </w:r>
          </w:p>
        </w:tc>
        <w:tc>
          <w:tcPr/>
          <w:p>
            <w:pPr>
              <w:pStyle w:val="Compact"/>
              <w:jc w:val="left"/>
            </w:pPr>
            <w:r>
              <w:t xml:space="preserve">$60,000</w:t>
            </w:r>
          </w:p>
        </w:tc>
        <w:tc>
          <w:tcPr/>
          <w:p>
            <w:pPr>
              <w:pStyle w:val="Compact"/>
              <w:jc w:val="left"/>
            </w:pPr>
            <w:r>
              <w:t xml:space="preserve">Dedicated local sales rep for Sberbank/Petrovka negotiations.</w:t>
            </w:r>
          </w:p>
        </w:tc>
      </w:tr>
    </w:tbl>
    <w:bookmarkEnd w:id="28"/>
    <w:bookmarkStart w:id="29" w:name="success-measurement-adaptation"/>
    <w:p>
      <w:pPr>
        <w:pStyle w:val="Heading2"/>
      </w:pPr>
      <w:r>
        <w:t xml:space="preserve">Success Measurement &amp; Adaptation</w:t>
      </w:r>
    </w:p>
    <w:p>
      <w:pPr>
        <w:pStyle w:val="FirstParagraph"/>
      </w:pPr>
      <w:r>
        <w:t xml:space="preserve">KPIs are tracked via a Saint Petersburg-specific dashboard:</w:t>
      </w:r>
    </w:p>
    <w:p>
      <w:pPr>
        <w:numPr>
          <w:ilvl w:val="0"/>
          <w:numId w:val="1006"/>
        </w:numPr>
        <w:pStyle w:val="Compact"/>
      </w:pPr>
      <w:r>
        <w:rPr>
          <w:iCs/>
          <w:i/>
        </w:rPr>
        <w:t xml:space="preserve">Market Share</w:t>
      </w:r>
      <w:r>
        <w:t xml:space="preserve">: Measured quarterly against competitors using tourism board data from Saint Petersburg Tourism Development Agency.</w:t>
      </w:r>
    </w:p>
    <w:p>
      <w:pPr>
        <w:numPr>
          <w:ilvl w:val="0"/>
          <w:numId w:val="1006"/>
        </w:numPr>
        <w:pStyle w:val="Compact"/>
      </w:pPr>
      <w:r>
        <w:rPr>
          <w:iCs/>
          <w:i/>
        </w:rPr>
        <w:t xml:space="preserve">Cultural Resonance Score</w:t>
      </w:r>
      <w:r>
        <w:t xml:space="preserve">: 5-point Likert scale in post-tour surveys (e.g., "Did the program connect to Saint Petersburg’s maritime heritage?"). Target: 4.2/5.</w:t>
      </w:r>
    </w:p>
    <w:p>
      <w:pPr>
        <w:numPr>
          <w:ilvl w:val="0"/>
          <w:numId w:val="1006"/>
        </w:numPr>
        <w:pStyle w:val="Compact"/>
      </w:pPr>
      <w:r>
        <w:rPr>
          <w:iCs/>
          <w:i/>
        </w:rPr>
        <w:t xml:space="preserve">Corporate Retention Rate</w:t>
      </w:r>
      <w:r>
        <w:t xml:space="preserve">: Track repeat bookings from companies; target: 70% by Year 2.</w:t>
      </w:r>
    </w:p>
    <w:p>
      <w:pPr>
        <w:pStyle w:val="FirstParagraph"/>
      </w:pPr>
      <w:r>
        <w:t xml:space="preserve">Monthly reviews will adapt tactics based on Saint Petersburg-specific data – e.g., if tour demand spikes in August (peak tourism season), we’ll allocate extra vessels. If academic engagement lags, we’ll activate the Hermitage partnership for joint promotions.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Marketing Plan</w:t>
      </w:r>
      <w:r>
        <w:t xml:space="preserve"> </w:t>
      </w:r>
      <w:r>
        <w:t xml:space="preserve">positions</w:t>
      </w:r>
      <w:r>
        <w:t xml:space="preserve"> </w:t>
      </w:r>
      <w:r>
        <w:rPr>
          <w:bCs/>
          <w:b/>
        </w:rPr>
        <w:t xml:space="preserve">Oceanographer</w:t>
      </w:r>
      <w:r>
        <w:t xml:space="preserve"> </w:t>
      </w:r>
      <w:r>
        <w:t xml:space="preserve">not as a generic ocean service, but as an integrated partner in Saint Petersburg’s cultural and environmental narrative. By embedding our brand within the city’s academic prestige, tourism infrastructure, and local identity – while respecting Russia's regulatory environment and linguistic nuances – we project $1.2M revenue by Month 18. In Saint Petersburg where the sea is both a historical legacy and ecological concern,</w:t>
      </w:r>
      <w:r>
        <w:t xml:space="preserve"> </w:t>
      </w:r>
      <w:r>
        <w:rPr>
          <w:bCs/>
          <w:b/>
        </w:rPr>
        <w:t xml:space="preserve">Oceanographer</w:t>
      </w:r>
      <w:r>
        <w:t xml:space="preserve"> </w:t>
      </w:r>
      <w:r>
        <w:t xml:space="preserve">will transform ocean literacy from an abstract concept into a tangible part of the city’s daily life, setting new standards for sustainable tourism in Russia.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Saint Petersburg, Russia</dc:title>
  <dc:creator/>
  <dc:language>en</dc:language>
  <cp:keywords/>
  <dcterms:created xsi:type="dcterms:W3CDTF">2026-07-24T14:22:13Z</dcterms:created>
  <dcterms:modified xsi:type="dcterms:W3CDTF">2026-07-24T14:22:13Z</dcterms:modified>
</cp:coreProperties>
</file>

<file path=docProps/custom.xml><?xml version="1.0" encoding="utf-8"?>
<Properties xmlns="http://schemas.openxmlformats.org/officeDocument/2006/custom-properties" xmlns:vt="http://schemas.openxmlformats.org/officeDocument/2006/docPropsVTypes"/>
</file>