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Kabul,</w:t>
      </w:r>
      <w:r>
        <w:t xml:space="preserve"> </w:t>
      </w:r>
      <w:r>
        <w:t xml:space="preserve">Afghanistan</w:t>
      </w:r>
    </w:p>
    <w:bookmarkStart w:id="33" w:name="X91fc811ee57ca889052a15be8e3d75d754239b0"/>
    <w:p>
      <w:pPr>
        <w:pStyle w:val="Heading1"/>
      </w:pPr>
      <w:r>
        <w:t xml:space="preserve">Comprehensive Marketing Plan for Ophthalmologist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ophthalmology services within the underserved healthcare landscape of Kabul, Afghanistan. With an estimated 4.5 million Afghans suffering from preventable blindness (World Health Organization, 2023), there is a critical need for accessible eye care in Afghanistan's capital. This plan targets the opening of a specialized Ophthalmologist practice in Kabul that addresses unique local challenges while building sustainable community trust. Our focus is on delivering high-quality, culturally sensitive eye care through strategic marketing that resonates with Kabul's diverse population, positioning the Ophthalmologist as an essential community health partner rather than just a medical service provider.</w:t>
      </w:r>
    </w:p>
    <w:bookmarkEnd w:id="20"/>
    <w:bookmarkStart w:id="21" w:name="X9a7a29bfcb8d4edb858263a6d20d6bcc2fa109b"/>
    <w:p>
      <w:pPr>
        <w:pStyle w:val="Heading2"/>
      </w:pPr>
      <w:r>
        <w:t xml:space="preserve">Situation Analysis: Kabul Healthcare Context</w:t>
      </w:r>
    </w:p>
    <w:p>
      <w:pPr>
        <w:pStyle w:val="FirstParagraph"/>
      </w:pPr>
      <w:r>
        <w:t xml:space="preserve">Kabul faces severe healthcare infrastructure limitations. Only 15% of Afghanistan's ophthalmologists practice in urban centers, with Kabul having the highest concentration but still facing critical shortages (Afghanistan Ministry of Health, 2023). Environmental factors like dust pollution, malnutrition, and limited access to clean water contribute to high rates of cataracts (47% of blindness cases), trachoma (12%), and diabetic retinopathy. Cultural barriers further complicate care access – many families delay treatment due to gender norms, with 68% of women requiring female Ophthalmologist services (UNICEF Afghanistan Report). This Marketing Plan directly addresses these gaps by positioning the Kabul-based Ophthalmologist practice as a culturally competent, affordable solution through targeted community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and peri-urban families (ages 30-65) in Kabul with children or elderly members experiencing vision issues. Prioritizes affordability and proximity to home/work.</w:t>
      </w:r>
    </w:p>
    <w:p>
      <w:pPr>
        <w:numPr>
          <w:ilvl w:val="0"/>
          <w:numId w:val="1001"/>
        </w:numPr>
        <w:pStyle w:val="Compact"/>
      </w:pPr>
      <w:r>
        <w:rPr>
          <w:bCs/>
          <w:b/>
        </w:rPr>
        <w:t xml:space="preserve">Secondary Segment:</w:t>
      </w:r>
      <w:r>
        <w:t xml:space="preserve"> </w:t>
      </w:r>
      <w:r>
        <w:t xml:space="preserve">Government health workers, school administrators, and community leaders for referral partnerships.</w:t>
      </w:r>
    </w:p>
    <w:p>
      <w:pPr>
        <w:numPr>
          <w:ilvl w:val="0"/>
          <w:numId w:val="1001"/>
        </w:numPr>
        <w:pStyle w:val="Compact"/>
      </w:pPr>
      <w:r>
        <w:rPr>
          <w:bCs/>
          <w:b/>
        </w:rPr>
        <w:t xml:space="preserve">Tertiary Segment:</w:t>
      </w:r>
      <w:r>
        <w:t xml:space="preserve"> </w:t>
      </w:r>
      <w:r>
        <w:t xml:space="preserve">International NGOs operating in Afghanistan (e.g., Sightsavers, ORBIS) seeking local ophthalmic collaborators for blindness prevention programs.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 new patients within 6 months through community-led outreach.</w:t>
      </w:r>
    </w:p>
    <w:p>
      <w:pPr>
        <w:numPr>
          <w:ilvl w:val="0"/>
          <w:numId w:val="1002"/>
        </w:numPr>
        <w:pStyle w:val="Compact"/>
      </w:pPr>
      <w:r>
        <w:t xml:space="preserve">Establish partnerships with at least 3 local health clinics and 1 major NGO.</w:t>
      </w:r>
    </w:p>
    <w:p>
      <w:pPr>
        <w:numPr>
          <w:ilvl w:val="0"/>
          <w:numId w:val="1002"/>
        </w:numPr>
        <w:pStyle w:val="Compact"/>
      </w:pPr>
      <w:r>
        <w:t xml:space="preserve">Achieve 85% patient satisfaction rate through culturally adapted care protocols.</w:t>
      </w:r>
    </w:p>
    <w:p>
      <w:pPr>
        <w:numPr>
          <w:ilvl w:val="0"/>
          <w:numId w:val="1002"/>
        </w:numPr>
        <w:pStyle w:val="Compact"/>
      </w:pPr>
      <w:r>
        <w:t xml:space="preserve">Reduce average patient wait time from 4 weeks to under 7 days by optimizing clinic flow.</w:t>
      </w:r>
    </w:p>
    <w:bookmarkEnd w:id="23"/>
    <w:bookmarkStart w:id="28" w:name="strategic-marketing-approaches"/>
    <w:p>
      <w:pPr>
        <w:pStyle w:val="Heading2"/>
      </w:pPr>
      <w:r>
        <w:t xml:space="preserve">Strategic Marketing Approaches</w:t>
      </w:r>
    </w:p>
    <w:bookmarkStart w:id="24" w:name="community-centric-branding-awareness"/>
    <w:p>
      <w:pPr>
        <w:pStyle w:val="Heading3"/>
      </w:pPr>
      <w:r>
        <w:t xml:space="preserve">1. Community-Centric Branding &amp; Awareness</w:t>
      </w:r>
    </w:p>
    <w:p>
      <w:pPr>
        <w:pStyle w:val="FirstParagraph"/>
      </w:pPr>
      <w:r>
        <w:t xml:space="preserve">Rather than traditional advertising, we deploy "Vision Ambassadors" – respected community figures (female teachers, religious leaders) trained to conduct neighborhood awareness sessions in Dari/Pashto about preventable eye diseases. This leverages Kabul's strong social networks while addressing cultural hesitations. All materials avoid Western medical jargon; instead using local metaphors like "protecting the light of your home" (referring to vision). The Ophthalmologist's clinic will be branded with a prominent, culturally resonant logo featuring a stylized eye symbol integrated with Afghan floral patterns.</w:t>
      </w:r>
    </w:p>
    <w:bookmarkEnd w:id="24"/>
    <w:bookmarkStart w:id="25" w:name="financial-accessibility-program"/>
    <w:p>
      <w:pPr>
        <w:pStyle w:val="Heading3"/>
      </w:pPr>
      <w:r>
        <w:t xml:space="preserve">2. Financial Accessibility Program</w:t>
      </w:r>
    </w:p>
    <w:p>
      <w:pPr>
        <w:pStyle w:val="FirstParagraph"/>
      </w:pPr>
      <w:r>
        <w:t xml:space="preserve">To overcome cost barriers (70% of Kabul households live below $2/day), we implement tiered pricing:</w:t>
      </w:r>
    </w:p>
    <w:p>
      <w:pPr>
        <w:numPr>
          <w:ilvl w:val="0"/>
          <w:numId w:val="1003"/>
        </w:numPr>
        <w:pStyle w:val="Compact"/>
      </w:pPr>
      <w:r>
        <w:rPr>
          <w:bCs/>
          <w:b/>
        </w:rPr>
        <w:t xml:space="preserve">Subsidized Care:</w:t>
      </w:r>
      <w:r>
        <w:t xml:space="preserve"> </w:t>
      </w:r>
      <w:r>
        <w:t xml:space="preserve">40% off for low-income families verified through community leader referrals.</w:t>
      </w:r>
    </w:p>
    <w:p>
      <w:pPr>
        <w:numPr>
          <w:ilvl w:val="0"/>
          <w:numId w:val="1003"/>
        </w:numPr>
        <w:pStyle w:val="Compact"/>
      </w:pPr>
      <w:r>
        <w:rPr>
          <w:bCs/>
          <w:b/>
        </w:rPr>
        <w:t xml:space="preserve">Family Packages:</w:t>
      </w:r>
      <w:r>
        <w:t xml:space="preserve"> </w:t>
      </w:r>
      <w:r>
        <w:t xml:space="preserve">Bundle services (e.g., cataract surgery + post-op care) at 25% discount for households with multiple affected members.</w:t>
      </w:r>
    </w:p>
    <w:p>
      <w:pPr>
        <w:numPr>
          <w:ilvl w:val="0"/>
          <w:numId w:val="1003"/>
        </w:numPr>
        <w:pStyle w:val="Compact"/>
      </w:pPr>
      <w:r>
        <w:rPr>
          <w:bCs/>
          <w:b/>
        </w:rPr>
        <w:t xml:space="preserve">NGO-Linked Funding:</w:t>
      </w:r>
      <w:r>
        <w:t xml:space="preserve"> </w:t>
      </w:r>
      <w:r>
        <w:t xml:space="preserve">Partner with organizations like The Fred Hollows Foundation to cover 30% of costs for vulnerable groups, creating a sustainable referral pipeline.</w:t>
      </w:r>
    </w:p>
    <w:bookmarkEnd w:id="25"/>
    <w:bookmarkStart w:id="26" w:name="digital-traditional-hybrid-outreach"/>
    <w:p>
      <w:pPr>
        <w:pStyle w:val="Heading3"/>
      </w:pPr>
      <w:r>
        <w:t xml:space="preserve">3. Digital &amp; Traditional Hybrid Outreach</w:t>
      </w:r>
    </w:p>
    <w:p>
      <w:pPr>
        <w:pStyle w:val="FirstParagraph"/>
      </w:pPr>
      <w:r>
        <w:t xml:space="preserve">In Kabul's limited digital landscape (62% mobile penetration but low smartphone usage), we combine:</w:t>
      </w:r>
    </w:p>
    <w:p>
      <w:pPr>
        <w:numPr>
          <w:ilvl w:val="0"/>
          <w:numId w:val="1004"/>
        </w:numPr>
        <w:pStyle w:val="Compact"/>
      </w:pPr>
      <w:r>
        <w:rPr>
          <w:bCs/>
          <w:b/>
        </w:rPr>
        <w:t xml:space="preserve">Radio Partnerships:</w:t>
      </w:r>
      <w:r>
        <w:t xml:space="preserve"> </w:t>
      </w:r>
      <w:r>
        <w:t xml:space="preserve">Weekly 15-minute segments on Radio Afghanistan discussing "Eye Health in Daily Life" with the Ophthalmologist.</w:t>
      </w:r>
    </w:p>
    <w:p>
      <w:pPr>
        <w:numPr>
          <w:ilvl w:val="0"/>
          <w:numId w:val="1004"/>
        </w:numPr>
        <w:pStyle w:val="Compact"/>
      </w:pPr>
      <w:r>
        <w:rPr>
          <w:bCs/>
          <w:b/>
        </w:rPr>
        <w:t xml:space="preserve">Print Media:</w:t>
      </w:r>
      <w:r>
        <w:t xml:space="preserve"> </w:t>
      </w:r>
      <w:r>
        <w:t xml:space="preserve">Posters in mosques and markets featuring simple visuals of common eye conditions, distributed through community centers.</w:t>
      </w:r>
    </w:p>
    <w:p>
      <w:pPr>
        <w:numPr>
          <w:ilvl w:val="0"/>
          <w:numId w:val="1004"/>
        </w:numPr>
        <w:pStyle w:val="Compact"/>
      </w:pPr>
      <w:r>
        <w:rPr>
          <w:bCs/>
          <w:b/>
        </w:rPr>
        <w:t xml:space="preserve">Mobile Clinics:</w:t>
      </w:r>
      <w:r>
        <w:t xml:space="preserve"> </w:t>
      </w:r>
      <w:r>
        <w:t xml:space="preserve">Monthly outreach to 5 underserved Kabul neighborhoods (e.g., Dasht-e-Barchi, Qargha) for basic screenings using portable devices.</w:t>
      </w:r>
    </w:p>
    <w:bookmarkEnd w:id="26"/>
    <w:bookmarkStart w:id="27" w:name="gender-sensitive-service-design"/>
    <w:p>
      <w:pPr>
        <w:pStyle w:val="Heading3"/>
      </w:pPr>
      <w:r>
        <w:t xml:space="preserve">4. Gender-Sensitive Service Design</w:t>
      </w:r>
    </w:p>
    <w:p>
      <w:pPr>
        <w:pStyle w:val="FirstParagraph"/>
      </w:pPr>
      <w:r>
        <w:t xml:space="preserve">To address the critical shortage of female ophthalmologists in Afghanistan (only 18% nationally), our Kabul practice will prioritize hiring local female medical staff and allocate dedicated hours for women's eye care. All marketing materials explicitly show female Ophthalmologist staff where appropriate, dispelling myths about service availability for women.</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Community Outreach &amp; Ambassadors Program</w:t>
            </w:r>
          </w:p>
        </w:tc>
        <w:tc>
          <w:tcPr/>
          <w:p>
            <w:pPr>
              <w:pStyle w:val="Compact"/>
              <w:jc w:val="left"/>
            </w:pPr>
            <w:r>
              <w:t xml:space="preserve">35%</w:t>
            </w:r>
          </w:p>
        </w:tc>
      </w:tr>
      <w:tr>
        <w:tc>
          <w:tcPr/>
          <w:p>
            <w:pPr>
              <w:pStyle w:val="Compact"/>
              <w:jc w:val="left"/>
            </w:pPr>
            <w:r>
              <w:t xml:space="preserve">Tiered Pricing Subsidies</w:t>
            </w:r>
          </w:p>
        </w:tc>
        <w:tc>
          <w:tcPr/>
          <w:p>
            <w:pPr>
              <w:pStyle w:val="Compact"/>
              <w:jc w:val="left"/>
            </w:pPr>
            <w:r>
              <w:t xml:space="preserve">30%</w:t>
            </w:r>
          </w:p>
        </w:tc>
      </w:tr>
      <w:tr>
        <w:tc>
          <w:tcPr/>
          <w:p>
            <w:pPr>
              <w:pStyle w:val="Compact"/>
              <w:jc w:val="left"/>
            </w:pPr>
            <w:r>
              <w:t xml:space="preserve">Digital/Traditional Media Campaigns</w:t>
            </w:r>
          </w:p>
        </w:tc>
        <w:tc>
          <w:tcPr/>
          <w:p>
            <w:pPr>
              <w:pStyle w:val="Compact"/>
              <w:jc w:val="left"/>
            </w:pPr>
            <w:r>
              <w:t xml:space="preserve">20%</w:t>
            </w:r>
          </w:p>
        </w:tc>
      </w:tr>
      <w:tr>
        <w:tc>
          <w:tcPr/>
          <w:p>
            <w:pPr>
              <w:pStyle w:val="Compact"/>
              <w:jc w:val="left"/>
            </w:pPr>
            <w:r>
              <w:t xml:space="preserve">Staff Training (Cultural Competency)</w:t>
            </w:r>
          </w:p>
        </w:tc>
        <w:tc>
          <w:tcPr/>
          <w:p>
            <w:pPr>
              <w:pStyle w:val="Compact"/>
              <w:jc w:val="left"/>
            </w:pPr>
            <w:r>
              <w:t xml:space="preserve">15%</w:t>
            </w:r>
          </w:p>
        </w:tc>
      </w:tr>
    </w:tbl>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1-2:</w:t>
      </w:r>
      <w:r>
        <w:t xml:space="preserve"> </w:t>
      </w:r>
      <w:r>
        <w:t xml:space="preserve">Community leader onboarding, staff cultural training, mobile clinic equipment procurement.</w:t>
      </w:r>
    </w:p>
    <w:p>
      <w:pPr>
        <w:numPr>
          <w:ilvl w:val="0"/>
          <w:numId w:val="1005"/>
        </w:numPr>
        <w:pStyle w:val="Compact"/>
      </w:pPr>
      <w:r>
        <w:rPr>
          <w:bCs/>
          <w:b/>
        </w:rPr>
        <w:t xml:space="preserve">Months 3-4:</w:t>
      </w:r>
      <w:r>
        <w:t xml:space="preserve"> </w:t>
      </w:r>
      <w:r>
        <w:t xml:space="preserve">Launch radio campaigns and first neighborhood outreach in Dasht-e-Barchi. Begin NGO partnership negotiations.</w:t>
      </w:r>
    </w:p>
    <w:p>
      <w:pPr>
        <w:numPr>
          <w:ilvl w:val="0"/>
          <w:numId w:val="1005"/>
        </w:numPr>
        <w:pStyle w:val="Compact"/>
      </w:pPr>
      <w:r>
        <w:rPr>
          <w:bCs/>
          <w:b/>
        </w:rPr>
        <w:t xml:space="preserve">Months 5-6:</w:t>
      </w:r>
      <w:r>
        <w:t xml:space="preserve"> </w:t>
      </w:r>
      <w:r>
        <w:t xml:space="preserve">Roll out subsidized pricing model, deploy Vision Ambassadors across 3 Kabul districts, measure patient acquisition.</w:t>
      </w:r>
    </w:p>
    <w:p>
      <w:pPr>
        <w:numPr>
          <w:ilvl w:val="0"/>
          <w:numId w:val="1005"/>
        </w:numPr>
        <w:pStyle w:val="Compact"/>
      </w:pPr>
      <w:r>
        <w:rPr>
          <w:bCs/>
          <w:b/>
        </w:rPr>
        <w:t xml:space="preserve">Months 7-12:</w:t>
      </w:r>
      <w:r>
        <w:t xml:space="preserve"> </w:t>
      </w:r>
      <w:r>
        <w:t xml:space="preserve">Scale successful neighborhood programs to all Kabul districts, establish formal referral system with Ministry of Health clinics.</w:t>
      </w:r>
    </w:p>
    <w:bookmarkEnd w:id="30"/>
    <w:bookmarkStart w:id="31" w:name="evaluation-metrics"/>
    <w:p>
      <w:pPr>
        <w:pStyle w:val="Heading2"/>
      </w:pPr>
      <w:r>
        <w:t xml:space="preserve">Evaluation Metrics</w:t>
      </w:r>
    </w:p>
    <w:p>
      <w:pPr>
        <w:pStyle w:val="FirstParagraph"/>
      </w:pPr>
      <w:r>
        <w:t xml:space="preserve">We track success through both quantitative and community feedback metrics:</w:t>
      </w:r>
    </w:p>
    <w:p>
      <w:pPr>
        <w:numPr>
          <w:ilvl w:val="0"/>
          <w:numId w:val="1006"/>
        </w:numPr>
        <w:pStyle w:val="Compact"/>
      </w:pPr>
      <w:r>
        <w:rPr>
          <w:bCs/>
          <w:b/>
        </w:rPr>
        <w:t xml:space="preserve">Service Utilization:</w:t>
      </w:r>
      <w:r>
        <w:t xml:space="preserve"> </w:t>
      </w:r>
      <w:r>
        <w:t xml:space="preserve">Monthly patient volume by demographic (gender, age, neighborhood).</w:t>
      </w:r>
    </w:p>
    <w:p>
      <w:pPr>
        <w:numPr>
          <w:ilvl w:val="0"/>
          <w:numId w:val="1006"/>
        </w:numPr>
        <w:pStyle w:val="Compact"/>
      </w:pPr>
      <w:r>
        <w:rPr>
          <w:bCs/>
          <w:b/>
        </w:rPr>
        <w:t xml:space="preserve">Community Trust Indicators:</w:t>
      </w:r>
      <w:r>
        <w:t xml:space="preserve"> </w:t>
      </w:r>
      <w:r>
        <w:t xml:space="preserve">% of referrals from community leaders (target: 40%+ by Month 6).</w:t>
      </w:r>
    </w:p>
    <w:p>
      <w:pPr>
        <w:numPr>
          <w:ilvl w:val="0"/>
          <w:numId w:val="1006"/>
        </w:numPr>
        <w:pStyle w:val="Compact"/>
      </w:pPr>
      <w:r>
        <w:rPr>
          <w:bCs/>
          <w:b/>
        </w:rPr>
        <w:t xml:space="preserve">Sustainability Metrics:</w:t>
      </w:r>
      <w:r>
        <w:t xml:space="preserve"> </w:t>
      </w:r>
      <w:r>
        <w:t xml:space="preserve">Patient retention rate (&gt;75% at 3 months), NGO funding coverage percentage.</w:t>
      </w:r>
    </w:p>
    <w:bookmarkEnd w:id="31"/>
    <w:bookmarkStart w:id="32" w:name="Xd51f84bfaa5529c222fd739bfcb2f1870f7bf8d"/>
    <w:p>
      <w:pPr>
        <w:pStyle w:val="Heading2"/>
      </w:pPr>
      <w:r>
        <w:t xml:space="preserve">Conclusion: Transforming Eye Care in Kabul</w:t>
      </w:r>
    </w:p>
    <w:p>
      <w:pPr>
        <w:pStyle w:val="FirstParagraph"/>
      </w:pPr>
      <w:r>
        <w:t xml:space="preserve">This Marketing Plan moves beyond conventional medical promotion to create a community-owned eye care ecosystem in Afghanistan Kabul. By embedding the Ophthalmologist's practice within local social structures, addressing financial and cultural barriers head-on, and partnering with trusted Afghan institutions rather than imposing external models, we build lasting impact. Every strategy is designed to ensure that when an Afghan family in Kabul hears "ophthalmologist," they see not a foreign concept but a familiar neighbor committed to preserving their community's sight. As the first Ophthalmologist practice in Kabul specifically engineered for local realities, this plan positions vision care as an accessible human right – turning our Marketing Plan into tangible hope for thousands of Afghans who have long been overlooked.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Kabul, Afghanistan</dc:title>
  <dc:creator/>
  <dc:language>en</dc:language>
  <cp:keywords/>
  <dcterms:created xsi:type="dcterms:W3CDTF">2026-07-21T05:48:29Z</dcterms:created>
  <dcterms:modified xsi:type="dcterms:W3CDTF">2026-07-21T05:48:29Z</dcterms:modified>
</cp:coreProperties>
</file>

<file path=docProps/custom.xml><?xml version="1.0" encoding="utf-8"?>
<Properties xmlns="http://schemas.openxmlformats.org/officeDocument/2006/custom-properties" xmlns:vt="http://schemas.openxmlformats.org/officeDocument/2006/docPropsVTypes"/>
</file>