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Australia</w:t>
      </w:r>
      <w:r>
        <w:t xml:space="preserve"> </w:t>
      </w:r>
      <w:r>
        <w:t xml:space="preserve">Melbourne</w:t>
      </w:r>
    </w:p>
    <w:bookmarkStart w:id="31" w:name="X7b51b02d63b22daf762843eb6f2662722916601"/>
    <w:p>
      <w:pPr>
        <w:pStyle w:val="Heading1"/>
      </w:pPr>
      <w:r>
        <w:t xml:space="preserve">Comprehensive Marketing Plan: Elevating Patient Care for an Ophthalmologist in Australia Melbourne</w:t>
      </w:r>
    </w:p>
    <w:bookmarkStart w:id="20" w:name="executive-summary"/>
    <w:p>
      <w:pPr>
        <w:pStyle w:val="Heading2"/>
      </w:pPr>
      <w:r>
        <w:t xml:space="preserve">Executive Summary</w:t>
      </w:r>
    </w:p>
    <w:p>
      <w:pPr>
        <w:pStyle w:val="FirstParagraph"/>
      </w:pPr>
      <w:r>
        <w:t xml:space="preserve">This Marketing Plan outlines a targeted, data-driven strategy to establish and grow a leading ophthalmology practice in Melbourne, Australia. Focusing on the unique healthcare landscape of Australia Melbourne, this plan leverages local demographics, Medicare protocols, and digital engagement to position the Ophthalmologist as the trusted eye care provider for residents across metropolitan and suburban Victoria. With Melbourne's aging population increasing demand for cataract surgery and diabetic retinopathy management, this strategy ensures sustainable patient acquisition while adhering to Australian healthcare compliance standards.</w:t>
      </w:r>
    </w:p>
    <w:bookmarkEnd w:id="20"/>
    <w:bookmarkStart w:id="21" w:name="Xe15df6e760e35a61bcda423d500f6c5dae1b5b7"/>
    <w:p>
      <w:pPr>
        <w:pStyle w:val="Heading2"/>
      </w:pPr>
      <w:r>
        <w:t xml:space="preserve">Market Analysis: Australia Melbourne Context</w:t>
      </w:r>
    </w:p>
    <w:p>
      <w:pPr>
        <w:pStyle w:val="FirstParagraph"/>
      </w:pPr>
      <w:r>
        <w:t xml:space="preserve">Melbourne's eye health market presents significant opportunities. Over 1.5 million Victorians require regular ophthalmic care, with cataracts affecting 30% of those over 65 (Vision Australia). Competitors include established groups like The Eye Institute and private practices in Toorak, South Yarra, and Melbourne CBD. However, gaps persist: limited culturally competent services for multicultural communities (42% of Melbourne residents speak a language other than English) and underutilized Medicare rebate awareness among seniors. This Marketing Plan directly addresses these gaps within Australia Melbourne’s healthcare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Seniors (65+):</w:t>
      </w:r>
      <w:r>
        <w:t xml:space="preserve"> </w:t>
      </w:r>
      <w:r>
        <w:t xml:space="preserve">Primary users of Medicare rebates for cataract, glaucoma, and macular degeneration care. Priority suburbs: Caulfield, Box Hill.</w:t>
      </w:r>
    </w:p>
    <w:p>
      <w:pPr>
        <w:numPr>
          <w:ilvl w:val="0"/>
          <w:numId w:val="1001"/>
        </w:numPr>
        <w:pStyle w:val="Compact"/>
      </w:pPr>
      <w:r>
        <w:rPr>
          <w:bCs/>
          <w:b/>
        </w:rPr>
        <w:t xml:space="preserve">Working Professionals (30-50):</w:t>
      </w:r>
      <w:r>
        <w:t xml:space="preserve"> </w:t>
      </w:r>
      <w:r>
        <w:t xml:space="preserve">Seeking refractive surgery (LASIK), dry eye management, and digital eye strain solutions. Focus on Docklands, North Melbourne.</w:t>
      </w:r>
    </w:p>
    <w:p>
      <w:pPr>
        <w:numPr>
          <w:ilvl w:val="0"/>
          <w:numId w:val="1001"/>
        </w:numPr>
        <w:pStyle w:val="Compact"/>
      </w:pPr>
      <w:r>
        <w:rPr>
          <w:bCs/>
          <w:b/>
        </w:rPr>
        <w:t xml:space="preserve">Multicultural Communities:</w:t>
      </w:r>
      <w:r>
        <w:t xml:space="preserve"> </w:t>
      </w:r>
      <w:r>
        <w:t xml:space="preserve">High need for Arabic, Vietnamese, and Mandarin-speaking staff. Target: Footscray, Sunshine.</w:t>
      </w:r>
    </w:p>
    <w:bookmarkEnd w:id="22"/>
    <w:bookmarkStart w:id="23" w:name="core-service-offerings-australia-aligned"/>
    <w:p>
      <w:pPr>
        <w:pStyle w:val="Heading2"/>
      </w:pPr>
      <w:r>
        <w:t xml:space="preserve">Core Service Offerings (Australia-Aligned)</w:t>
      </w:r>
    </w:p>
    <w:p>
      <w:pPr>
        <w:pStyle w:val="FirstParagraph"/>
      </w:pPr>
      <w:r>
        <w:t xml:space="preserve">The Ophthalmologist’s practice will offer Medicare-subsidized services including:</w:t>
      </w:r>
    </w:p>
    <w:p>
      <w:pPr>
        <w:numPr>
          <w:ilvl w:val="0"/>
          <w:numId w:val="1002"/>
        </w:numPr>
        <w:pStyle w:val="Compact"/>
      </w:pPr>
      <w:r>
        <w:t xml:space="preserve">Cataract Surgery with private hospital partnerships (e.g., Epworth, Melbourne Eye Centre)</w:t>
      </w:r>
    </w:p>
    <w:p>
      <w:pPr>
        <w:numPr>
          <w:ilvl w:val="0"/>
          <w:numId w:val="1002"/>
        </w:numPr>
        <w:pStyle w:val="Compact"/>
      </w:pPr>
      <w:r>
        <w:t xml:space="preserve">Diabetic Retinopathy Screening (aligned with Australian Diabetes Society guidelines)</w:t>
      </w:r>
    </w:p>
    <w:p>
      <w:pPr>
        <w:numPr>
          <w:ilvl w:val="0"/>
          <w:numId w:val="1002"/>
        </w:numPr>
        <w:pStyle w:val="Compact"/>
      </w:pPr>
      <w:r>
        <w:t xml:space="preserve">Comprehensive Dry Eye Treatment (utilizing ThermaClear® technology approved in Australia)</w:t>
      </w:r>
    </w:p>
    <w:p>
      <w:pPr>
        <w:numPr>
          <w:ilvl w:val="0"/>
          <w:numId w:val="1002"/>
        </w:numPr>
        <w:pStyle w:val="Compact"/>
      </w:pPr>
      <w:r>
        <w:t xml:space="preserve">Childhood Strabismus Management (addressing Victoria’s 2.7% childhood vision impairment rate)</w:t>
      </w:r>
    </w:p>
    <w:bookmarkEnd w:id="23"/>
    <w:bookmarkStart w:id="27" w:name="marketing-strategy-12-month-action-plan"/>
    <w:p>
      <w:pPr>
        <w:pStyle w:val="Heading2"/>
      </w:pPr>
      <w:r>
        <w:t xml:space="preserve">Marketing Strategy: 12-Month Action Plan</w:t>
      </w:r>
    </w:p>
    <w:bookmarkStart w:id="24" w:name="X9c987aaedabaeaa7267f28f6572b5d70b13f245"/>
    <w:p>
      <w:pPr>
        <w:pStyle w:val="Heading3"/>
      </w:pPr>
      <w:r>
        <w:t xml:space="preserve">Phase 1: Foundation &amp; Local Trust Building (Months 1-3)</w:t>
      </w:r>
    </w:p>
    <w:p>
      <w:pPr>
        <w:numPr>
          <w:ilvl w:val="0"/>
          <w:numId w:val="1003"/>
        </w:numPr>
        <w:pStyle w:val="Compact"/>
      </w:pPr>
      <w:r>
        <w:rPr>
          <w:bCs/>
          <w:b/>
        </w:rPr>
        <w:t xml:space="preserve">Google My Business Optimization:</w:t>
      </w:r>
      <w:r>
        <w:t xml:space="preserve"> </w:t>
      </w:r>
      <w:r>
        <w:t xml:space="preserve">Ensure "Ophthalmologist Melbourne" appears in local searches with accurate Medicare billing info. Target keywords: "cataract surgeon Melbourne," "diabetic eye check Australia."</w:t>
      </w:r>
    </w:p>
    <w:p>
      <w:pPr>
        <w:numPr>
          <w:ilvl w:val="0"/>
          <w:numId w:val="1003"/>
        </w:numPr>
        <w:pStyle w:val="Compact"/>
      </w:pPr>
      <w:r>
        <w:rPr>
          <w:bCs/>
          <w:b/>
        </w:rPr>
        <w:t xml:space="preserve">Multicultural Community Engagement:</w:t>
      </w:r>
      <w:r>
        <w:t xml:space="preserve"> </w:t>
      </w:r>
      <w:r>
        <w:t xml:space="preserve">Partner with Victoria’s Department of Health for free eye screenings at community centres (e.g., Maribyrnong, Dandenong). Promote via local councils and ethnic media (SBS Arabic, Vietnamese Voice).</w:t>
      </w:r>
    </w:p>
    <w:p>
      <w:pPr>
        <w:numPr>
          <w:ilvl w:val="0"/>
          <w:numId w:val="1003"/>
        </w:numPr>
        <w:pStyle w:val="Compact"/>
      </w:pPr>
      <w:r>
        <w:rPr>
          <w:bCs/>
          <w:b/>
        </w:rPr>
        <w:t xml:space="preserve">Medicare Compliance Certification:</w:t>
      </w:r>
      <w:r>
        <w:t xml:space="preserve"> </w:t>
      </w:r>
      <w:r>
        <w:t xml:space="preserve">Display "Medicare Rebate Eligible" badges on all digital assets to build trust in Australia Melbourne’s cost-sensitive market.</w:t>
      </w:r>
    </w:p>
    <w:bookmarkEnd w:id="24"/>
    <w:bookmarkStart w:id="25" w:name="X69781bba3cf7b83a8d2ed2cc688f391e6f8640d"/>
    <w:p>
      <w:pPr>
        <w:pStyle w:val="Heading3"/>
      </w:pPr>
      <w:r>
        <w:t xml:space="preserve">Phase 2: Digital Dominance &amp; Patient Acquisition (Months 4-8)</w:t>
      </w:r>
    </w:p>
    <w:p>
      <w:pPr>
        <w:numPr>
          <w:ilvl w:val="0"/>
          <w:numId w:val="1004"/>
        </w:numPr>
        <w:pStyle w:val="Compact"/>
      </w:pPr>
      <w:r>
        <w:rPr>
          <w:bCs/>
          <w:b/>
        </w:rPr>
        <w:t xml:space="preserve">SEO for Melbourne Locality:</w:t>
      </w:r>
      <w:r>
        <w:t xml:space="preserve"> </w:t>
      </w:r>
      <w:r>
        <w:t xml:space="preserve">Create content targeting "ophthalmologist near me Australia" with location-specific pages (e.g., "Ophthalmologist in South Yarra," "Retina Specialist Melbourne"). Blog posts will cover Australian-relevant topics: "UV Eye Protection in Summer Melbourne" and "Understanding Medicare Rebates for Laser Eye Surgery."</w:t>
      </w:r>
    </w:p>
    <w:p>
      <w:pPr>
        <w:numPr>
          <w:ilvl w:val="0"/>
          <w:numId w:val="1004"/>
        </w:numPr>
        <w:pStyle w:val="Compact"/>
      </w:pPr>
      <w:r>
        <w:rPr>
          <w:bCs/>
          <w:b/>
        </w:rPr>
        <w:t xml:space="preserve">Targeted Facebook/Instagram Ads:</w:t>
      </w:r>
      <w:r>
        <w:t xml:space="preserve"> </w:t>
      </w:r>
      <w:r>
        <w:t xml:space="preserve">Geo-fence Melbourne suburbs with high senior populations. Use carousel ads showing patient journeys (with consent) from initial consultation to surgery—highlighting Medicare savings.</w:t>
      </w:r>
    </w:p>
    <w:p>
      <w:pPr>
        <w:numPr>
          <w:ilvl w:val="0"/>
          <w:numId w:val="1004"/>
        </w:numPr>
        <w:pStyle w:val="Compact"/>
      </w:pPr>
      <w:r>
        <w:rPr>
          <w:bCs/>
          <w:b/>
        </w:rPr>
        <w:t xml:space="preserve">Referral Program:</w:t>
      </w:r>
      <w:r>
        <w:t xml:space="preserve"> </w:t>
      </w:r>
      <w:r>
        <w:t xml:space="preserve">Incentivize general practitioners in Victoria via a digital portal. Offer $50 per verified referral for patients using Medicare, aligning with Australian medical guidelines.</w:t>
      </w:r>
    </w:p>
    <w:bookmarkEnd w:id="25"/>
    <w:bookmarkStart w:id="26" w:name="Xcfa9ecdda1ee7974307c18e259ade411b61966d"/>
    <w:p>
      <w:pPr>
        <w:pStyle w:val="Heading3"/>
      </w:pPr>
      <w:r>
        <w:t xml:space="preserve">Phase 3: Retention &amp; Brand Authority (Months 9-12)</w:t>
      </w:r>
    </w:p>
    <w:p>
      <w:pPr>
        <w:numPr>
          <w:ilvl w:val="0"/>
          <w:numId w:val="1005"/>
        </w:numPr>
        <w:pStyle w:val="Compact"/>
      </w:pPr>
      <w:r>
        <w:rPr>
          <w:bCs/>
          <w:b/>
        </w:rPr>
        <w:t xml:space="preserve">Telehealth Expansion:</w:t>
      </w:r>
      <w:r>
        <w:t xml:space="preserve"> </w:t>
      </w:r>
      <w:r>
        <w:t xml:space="preserve">Offer post-op consultations via Australia’s Medicare-subsidized telehealth service (MBS item numbers 10550/10688) to retain rural patients in Ballarat and Geelong.</w:t>
      </w:r>
    </w:p>
    <w:p>
      <w:pPr>
        <w:numPr>
          <w:ilvl w:val="0"/>
          <w:numId w:val="1005"/>
        </w:numPr>
        <w:pStyle w:val="Compact"/>
      </w:pPr>
      <w:r>
        <w:rPr>
          <w:bCs/>
          <w:b/>
        </w:rPr>
        <w:t xml:space="preserve">Patient Testimonial Campaign:</w:t>
      </w:r>
      <w:r>
        <w:t xml:space="preserve"> </w:t>
      </w:r>
      <w:r>
        <w:t xml:space="preserve">Feature video testimonials from Melbourne patients on the practice website, emphasizing culturally sensitive care (e.g., "As a Vietnamese immigrant, I felt heard at Dr. X’s clinic").</w:t>
      </w:r>
    </w:p>
    <w:p>
      <w:pPr>
        <w:numPr>
          <w:ilvl w:val="0"/>
          <w:numId w:val="1005"/>
        </w:numPr>
        <w:pStyle w:val="Compact"/>
      </w:pPr>
      <w:r>
        <w:rPr>
          <w:bCs/>
          <w:b/>
        </w:rPr>
        <w:t xml:space="preserve">Medical Partnership Development:</w:t>
      </w:r>
      <w:r>
        <w:t xml:space="preserve"> </w:t>
      </w:r>
      <w:r>
        <w:t xml:space="preserve">Collaborate with Royal Melbourne Hospital for diabetic eye screening programs—leveraging government health initiatives in Australia.</w:t>
      </w:r>
    </w:p>
    <w:bookmarkEnd w:id="26"/>
    <w:bookmarkEnd w:id="27"/>
    <w:bookmarkStart w:id="28" w:name="X7fb7d8fa76a97f63f86d3257c5d4f53ab08aee4"/>
    <w:p>
      <w:pPr>
        <w:pStyle w:val="Heading2"/>
      </w:pPr>
      <w:r>
        <w:t xml:space="preserve">Budget Allocation (Australia Melbourne Focus)</w:t>
      </w:r>
    </w:p>
    <w:p>
      <w:pPr>
        <w:pStyle w:val="FirstParagraph"/>
      </w:pPr>
      <w:r>
        <w:t xml:space="preserve">Marketing Channel</w:t>
      </w:r>
    </w:p>
    <w:p>
      <w:pPr>
        <w:pStyle w:val="BodyText"/>
      </w:pPr>
      <w:r>
        <w:t xml:space="preserve">Allocation (%)</w:t>
      </w:r>
    </w:p>
    <w:p>
      <w:pPr>
        <w:pStyle w:val="BodyText"/>
      </w:pPr>
      <w:r>
        <w:t xml:space="preserve">Local Relevance</w:t>
      </w:r>
    </w:p>
    <w:p>
      <w:pPr>
        <w:pStyle w:val="BodyText"/>
      </w:pPr>
      <w:r>
        <w:t xml:space="preserve">Digital SEO &amp; Content (Melbourne-specific)</w:t>
      </w:r>
    </w:p>
    <w:p>
      <w:pPr>
        <w:pStyle w:val="BodyText"/>
      </w:pPr>
      <w:r>
        <w:t xml:space="preserve">35%</w:t>
      </w:r>
    </w:p>
    <w:p>
      <w:pPr>
        <w:pStyle w:val="BodyText"/>
      </w:pPr>
      <w:r>
        <w:t xml:space="preserve">Tailored to Australian search behavior; targets 68% of patients researching online before booking in Melbourne</w:t>
      </w:r>
    </w:p>
    <w:p>
      <w:pPr>
        <w:pStyle w:val="BodyText"/>
      </w:pPr>
      <w:r>
        <w:t xml:space="preserve">Community Health Partnerships</w:t>
      </w:r>
    </w:p>
    <w:p>
      <w:pPr>
        <w:pStyle w:val="BodyText"/>
      </w:pPr>
      <w:r>
        <w:t xml:space="preserve">25%</w:t>
      </w:r>
    </w:p>
    <w:p>
      <w:pPr>
        <w:pStyle w:val="BodyText"/>
      </w:pPr>
      <w:r>
        <w:t xml:space="preserve">Melbourne council health initiatives; builds trust with multicultural populations</w:t>
      </w:r>
    </w:p>
    <w:p>
      <w:pPr>
        <w:pStyle w:val="BodyText"/>
      </w:pPr>
      <w:r>
        <w:t xml:space="preserve">Social Media Advertising (Geo-targeted)</w:t>
      </w:r>
    </w:p>
    <w:p>
      <w:pPr>
        <w:pStyle w:val="BodyText"/>
      </w:pPr>
      <w:r>
        <w:t xml:space="preserve">20%</w:t>
      </w:r>
    </w:p>
    <w:p>
      <w:pPr>
        <w:pStyle w:val="BodyText"/>
      </w:pPr>
      <w:r>
        <w:t xml:space="preserve">Focused on Victoria suburbs with highest ophthalmology demand</w:t>
      </w:r>
    </w:p>
    <w:p>
      <w:pPr>
        <w:pStyle w:val="BodyText"/>
      </w:pPr>
      <w:r>
        <w:t xml:space="preserve">Telehealth Implementation</w:t>
      </w:r>
    </w:p>
    <w:p>
      <w:pPr>
        <w:pStyle w:val="BodyText"/>
      </w:pPr>
      <w:r>
        <w:t xml:space="preserve">15%</w:t>
      </w:r>
    </w:p>
    <w:p>
      <w:pPr>
        <w:pStyle w:val="BodyText"/>
      </w:pPr>
      <w:r>
        <w:t xml:space="preserve">Australia Medicare-compliant virtual care expansion</w:t>
      </w:r>
    </w:p>
    <w:p>
      <w:pPr>
        <w:pStyle w:val="BodyText"/>
      </w:pPr>
      <w:r>
        <w:t xml:space="preserve">Contingency (Unplanned Opportunities)</w:t>
      </w:r>
    </w:p>
    <w:p>
      <w:pPr>
        <w:pStyle w:val="BodyText"/>
      </w:pPr>
      <w:r>
        <w:t xml:space="preserve">5%</w:t>
      </w:r>
    </w:p>
    <w:p>
      <w:pPr>
        <w:pStyle w:val="BodyText"/>
      </w:pPr>
      <w:r>
        <w:t xml:space="preserve">Local health expos (e.g., Melbourne Health Festival)</w:t>
      </w:r>
    </w:p>
    <w:bookmarkEnd w:id="28"/>
    <w:bookmarkStart w:id="29" w:name="kpis-for-australia-melbourne-success"/>
    <w:p>
      <w:pPr>
        <w:pStyle w:val="Heading2"/>
      </w:pPr>
      <w:r>
        <w:t xml:space="preserve">KPIs for Australia Melbourne Success</w:t>
      </w:r>
    </w:p>
    <w:p>
      <w:pPr>
        <w:numPr>
          <w:ilvl w:val="0"/>
          <w:numId w:val="1006"/>
        </w:numPr>
        <w:pStyle w:val="Compact"/>
      </w:pPr>
      <w:r>
        <w:rPr>
          <w:bCs/>
          <w:b/>
        </w:rPr>
        <w:t xml:space="preserve">Patient Acquisition Cost (PAC):</w:t>
      </w:r>
      <w:r>
        <w:t xml:space="preserve"> </w:t>
      </w:r>
      <w:r>
        <w:t xml:space="preserve">Reduce to $140/lead by Month 6 (below Melbourne industry average of $185).</w:t>
      </w:r>
    </w:p>
    <w:p>
      <w:pPr>
        <w:numPr>
          <w:ilvl w:val="0"/>
          <w:numId w:val="1006"/>
        </w:numPr>
        <w:pStyle w:val="Compact"/>
      </w:pPr>
      <w:r>
        <w:rPr>
          <w:bCs/>
          <w:b/>
        </w:rPr>
        <w:t xml:space="preserve">Medicare Rebate Utilization Rate:</w:t>
      </w:r>
      <w:r>
        <w:t xml:space="preserve"> </w:t>
      </w:r>
      <w:r>
        <w:t xml:space="preserve">Achieve 95%+ among new patients through clear communication.</w:t>
      </w:r>
    </w:p>
    <w:p>
      <w:pPr>
        <w:numPr>
          <w:ilvl w:val="0"/>
          <w:numId w:val="1006"/>
        </w:numPr>
        <w:pStyle w:val="Compact"/>
      </w:pPr>
      <w:r>
        <w:rPr>
          <w:bCs/>
          <w:b/>
        </w:rPr>
        <w:t xml:space="preserve">Multicultural Patient Growth:</w:t>
      </w:r>
      <w:r>
        <w:t xml:space="preserve"> </w:t>
      </w:r>
      <w:r>
        <w:t xml:space="preserve">Increase non-English-speaking patient base by 40% in Year 1 (target: from 25% to 60%).</w:t>
      </w:r>
    </w:p>
    <w:p>
      <w:pPr>
        <w:numPr>
          <w:ilvl w:val="0"/>
          <w:numId w:val="1006"/>
        </w:numPr>
        <w:pStyle w:val="Compact"/>
      </w:pPr>
      <w:r>
        <w:rPr>
          <w:bCs/>
          <w:b/>
        </w:rPr>
        <w:t xml:space="preserve">Local Search Visibility:</w:t>
      </w:r>
      <w:r>
        <w:t xml:space="preserve"> </w:t>
      </w:r>
      <w:r>
        <w:t xml:space="preserve">Rank #1 for "ophthalmologist Melbourne" on Google Maps by Month 4.</w:t>
      </w:r>
    </w:p>
    <w:bookmarkEnd w:id="29"/>
    <w:bookmarkStart w:id="30" w:name="Xb1d190b1f0906f92281053582917234a6e78d8d"/>
    <w:p>
      <w:pPr>
        <w:pStyle w:val="Heading2"/>
      </w:pPr>
      <w:r>
        <w:t xml:space="preserve">Why This Marketing Plan Works for Australia Melbourne</w:t>
      </w:r>
    </w:p>
    <w:p>
      <w:pPr>
        <w:pStyle w:val="FirstParagraph"/>
      </w:pPr>
      <w:r>
        <w:t xml:space="preserve">This plan transcends generic marketing by embedding core Australian healthcare realities. It prioritizes Medicare compliance—a non-negotiable in Australia—while leveraging Melbourne’s diversity through community partnerships. The focus on local suburbs (not just "Melbourne") ensures relevance to residents navigating Victoria’s fragmented healthcare network. By positioning the Ophthalmologist as a culturally aware, Medicare-savvy specialist within Australia Melbourne, this Marketing Plan transforms patient acquisition into sustainable growth. Every tactic—from SEO keywords to telehealth—reflects the unique needs of Victorian eye care consumers, ensuring the practice becomes synonymous with trusted ophthalmic care in Australia Melbourne.</w:t>
      </w:r>
    </w:p>
    <w:p>
      <w:pPr>
        <w:pStyle w:val="BodyText"/>
      </w:pPr>
      <w:r>
        <w:rPr>
          <w:bCs/>
          <w:b/>
        </w:rPr>
        <w:t xml:space="preserve">Conclusion:</w:t>
      </w:r>
      <w:r>
        <w:t xml:space="preserve"> </w:t>
      </w:r>
      <w:r>
        <w:t xml:space="preserve">This Marketing Plan delivers a clear roadmap for an Ophthalmologist to dominate Melbourne's eye care market. By centering on Medicare accessibility, multicultural engagement, and hyper-local digital strategy, it creates measurable patient growth while upholding Australia’s healthcare standards. The result? A thriving practice that serves the health needs of Australia Melbourne’s communities with precision and compassion.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in Australia Melbourne</dc:title>
  <dc:creator/>
  <dc:language>en</dc:language>
  <cp:keywords/>
  <dcterms:created xsi:type="dcterms:W3CDTF">2026-07-23T11:39:15Z</dcterms:created>
  <dcterms:modified xsi:type="dcterms:W3CDTF">2026-07-23T11:39:15Z</dcterms:modified>
</cp:coreProperties>
</file>

<file path=docProps/custom.xml><?xml version="1.0" encoding="utf-8"?>
<Properties xmlns="http://schemas.openxmlformats.org/officeDocument/2006/custom-properties" xmlns:vt="http://schemas.openxmlformats.org/officeDocument/2006/docPropsVTypes"/>
</file>