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Medellín,</w:t>
      </w:r>
      <w:r>
        <w:t xml:space="preserve"> </w:t>
      </w:r>
      <w:r>
        <w:t xml:space="preserve">Colombia</w:t>
      </w:r>
    </w:p>
    <w:bookmarkStart w:id="32" w:name="Xa6a9fae163941f42a895903bc5e44b97ce8eec0"/>
    <w:p>
      <w:pPr>
        <w:pStyle w:val="Heading1"/>
      </w:pPr>
      <w:r>
        <w:t xml:space="preserve">Comprehensive Marketing Plan for Ophthalmologist Practice in Medellín, Colombia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Medellín, Colombia. Targeting the rapidly expanding healthcare market of 2.5 million residents in Antioquia Department, our strategy leverages Medellín's position as Colombia's second-largest city and medical tourism hub. The plan focuses on positioning our Ophthalmologist as a trusted specialist for comprehensive eye care services—from routine screenings to advanced cataract and retinal surgeries—while addressing critical gaps in accessible, high-quality ophthalmic care within Colombia Medellín.</w:t>
      </w:r>
    </w:p>
    <w:bookmarkEnd w:id="20"/>
    <w:bookmarkStart w:id="21" w:name="X0f3938071faecbc056345381dad6ed754150e90"/>
    <w:p>
      <w:pPr>
        <w:pStyle w:val="Heading2"/>
      </w:pPr>
      <w:r>
        <w:t xml:space="preserve">Situation Analysis: Market Context in Colombia Medellín</w:t>
      </w:r>
    </w:p>
    <w:p>
      <w:pPr>
        <w:pStyle w:val="FirstParagraph"/>
      </w:pPr>
      <w:r>
        <w:t xml:space="preserve">Medellín faces unique ophthalmic challenges: 30% of the population over 60 suffers from age-related macular degeneration or cataracts (Colombian Ophthalmology Association, 2023), yet only 45% of residents have regular eye check-ups due to cost barriers and fragmented care. Competitors include two large hospital networks (San José, Clinica Las Américas) and 17 independent ophthalmologists—most lacking specialized marketing. Colombia Medellín's healthcare landscape offers opportunity: the city attracts 18,000 medical tourists annually (Ministry of Commerce), creating demand for premium services. Our analysis reveals unmet needs for culturally attuned care, bilingual staff (Spanish/English), and digital accessibility in a city with 78% smartphone penetration.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Residents aged 45-75 in Medellín's urban zones (El Poblado, Comunas 1-13) with private insurance or out-of-pocket capacity ($1,000-$3,000 USD/year for eye care).</w:t>
      </w:r>
    </w:p>
    <w:p>
      <w:pPr>
        <w:numPr>
          <w:ilvl w:val="0"/>
          <w:numId w:val="1001"/>
        </w:numPr>
        <w:pStyle w:val="Compact"/>
      </w:pPr>
      <w:r>
        <w:rPr>
          <w:bCs/>
          <w:b/>
        </w:rPr>
        <w:t xml:space="preserve">Secondary:</w:t>
      </w:r>
      <w:r>
        <w:t xml:space="preserve"> </w:t>
      </w:r>
      <w:r>
        <w:t xml:space="preserve">Medical tourists from Latin America (Venezuela, Ecuador) and U.S. retirees seeking affordable premium care.</w:t>
      </w:r>
    </w:p>
    <w:p>
      <w:pPr>
        <w:numPr>
          <w:ilvl w:val="0"/>
          <w:numId w:val="1001"/>
        </w:numPr>
        <w:pStyle w:val="Compact"/>
      </w:pPr>
      <w:r>
        <w:rPr>
          <w:bCs/>
          <w:b/>
        </w:rPr>
        <w:t xml:space="preserve">Tertiary:</w:t>
      </w:r>
      <w:r>
        <w:t xml:space="preserve"> </w:t>
      </w:r>
      <w:r>
        <w:t xml:space="preserve">Corporate wellness programs targeting Medellín's 12,000+ office workers with digital eye strain concerns.</w:t>
      </w:r>
    </w:p>
    <w:bookmarkEnd w:id="22"/>
    <w:bookmarkStart w:id="23" w:name="marketing-objectives-year-1"/>
    <w:p>
      <w:pPr>
        <w:pStyle w:val="Heading2"/>
      </w:pPr>
      <w:r>
        <w:t xml:space="preserve">Marketing Objectives (Year 1)</w:t>
      </w:r>
    </w:p>
    <w:p>
      <w:pPr>
        <w:numPr>
          <w:ilvl w:val="0"/>
          <w:numId w:val="1002"/>
        </w:numPr>
        <w:pStyle w:val="Compact"/>
      </w:pPr>
      <w:r>
        <w:t xml:space="preserve">Achieve 65% brand recognition among target demographics in Medellín within 18 months.</w:t>
      </w:r>
    </w:p>
    <w:p>
      <w:pPr>
        <w:numPr>
          <w:ilvl w:val="0"/>
          <w:numId w:val="1002"/>
        </w:numPr>
        <w:pStyle w:val="Compact"/>
      </w:pPr>
      <w:r>
        <w:t xml:space="preserve">Secure 350 new patients through targeted outreach, including 40 medical tourists.</w:t>
      </w:r>
    </w:p>
    <w:p>
      <w:pPr>
        <w:numPr>
          <w:ilvl w:val="0"/>
          <w:numId w:val="1002"/>
        </w:numPr>
        <w:pStyle w:val="Compact"/>
      </w:pPr>
      <w:r>
        <w:t xml:space="preserve">Attain a patient retention rate of ≥85% via personalized follow-up systems.</w:t>
      </w:r>
    </w:p>
    <w:p>
      <w:pPr>
        <w:numPr>
          <w:ilvl w:val="0"/>
          <w:numId w:val="1002"/>
        </w:numPr>
        <w:pStyle w:val="Compact"/>
      </w:pPr>
      <w:r>
        <w:t xml:space="preserve">Generate $120,000 in revenue from premium services (e.g., laser vision correction, retinal diagnostics).</w:t>
      </w:r>
    </w:p>
    <w:bookmarkEnd w:id="23"/>
    <w:bookmarkStart w:id="27" w:name="marketing-strategies-tactics"/>
    <w:p>
      <w:pPr>
        <w:pStyle w:val="Heading2"/>
      </w:pPr>
      <w:r>
        <w:t xml:space="preserve">Marketing Strategies &amp; Tactics</w:t>
      </w:r>
    </w:p>
    <w:bookmarkStart w:id="24" w:name="X84f441821de901351ad07b63c02617fda4e4c68"/>
    <w:p>
      <w:pPr>
        <w:pStyle w:val="Heading3"/>
      </w:pPr>
      <w:r>
        <w:t xml:space="preserve">1. Digital Dominance: Localized Online Presence</w:t>
      </w:r>
    </w:p>
    <w:p>
      <w:pPr>
        <w:pStyle w:val="FirstParagraph"/>
      </w:pPr>
      <w:r>
        <w:t xml:space="preserve">Launch a multilingual website optimized for "ophthalmologist Medellín" and "cristales en Antioquia" (SEO). Implement Google Ads targeting keywords like "cataract surgery Colombia," with geo-fencing in Medellín neighborhoods. Develop a WhatsApp consultation portal—critical in Colombia where 98% of users prefer WhatsApp over email for health queries. Partner with Medellín-based influencers (e.g., parenting bloggers, fitness coaches) for authentic "eye health" content series.</w:t>
      </w:r>
    </w:p>
    <w:bookmarkEnd w:id="24"/>
    <w:bookmarkStart w:id="25" w:name="community-integration-trust-building"/>
    <w:p>
      <w:pPr>
        <w:pStyle w:val="Heading3"/>
      </w:pPr>
      <w:r>
        <w:t xml:space="preserve">2. Community Integration: Trust Building</w:t>
      </w:r>
    </w:p>
    <w:p>
      <w:pPr>
        <w:pStyle w:val="FirstParagraph"/>
      </w:pPr>
      <w:r>
        <w:t xml:space="preserve">Host free monthly eye screenings at Comuna 10 community centers and senior homes—addressing Medellín's rural-urban care disparity. Collaborate with Medellín City Council on "Vision for All" initiatives, providing subsidized exams for low-income residents. Sponsor local football teams (e.g., Atlético Nacional) to associate the Ophthalmologist practice with community health, leveraging Colombia's sports culture.</w:t>
      </w:r>
    </w:p>
    <w:bookmarkEnd w:id="25"/>
    <w:bookmarkStart w:id="26" w:name="Xf54758d47f0dadef89bd09e2400678b6e2fbd25"/>
    <w:p>
      <w:pPr>
        <w:pStyle w:val="Heading3"/>
      </w:pPr>
      <w:r>
        <w:t xml:space="preserve">3. Premium Differentiation: Medical Tourism Focus</w:t>
      </w:r>
    </w:p>
    <w:p>
      <w:pPr>
        <w:pStyle w:val="FirstParagraph"/>
      </w:pPr>
      <w:r>
        <w:t xml:space="preserve">Develop a "Medellín Vision Journey" package: 7-day medical tourism experience including airport transfer, hotel accommodation (partnering with El Poblado boutique hotels), and bilingual post-op support. Target U.S.-based agencies like Medical Travel Group with tailored brochures highlighting Colombia Medellín's safety (15% lower cost than U.S.) and advanced equipment (e.g., femtosecond laser systems). Certify services under Colombia's Ministry of Health quality standards to assure international patients.</w:t>
      </w:r>
    </w:p>
    <w:p>
      <w:pPr>
        <w:pStyle w:val="BodyText"/>
      </w:pPr>
      <w:r>
        <w:t xml:space="preserve">4. Strategic Alliances: Healthcare Ecosystem</w:t>
      </w:r>
    </w:p>
    <w:p>
      <w:pPr>
        <w:pStyle w:val="BodyText"/>
      </w:pPr>
      <w:r>
        <w:t xml:space="preserve">Forge partnerships with 50+ primary care clinics across Medellín (e.g., Clinica Colsanitas) for patient referrals, offering 15% commission per new patient. Join the Antioquia Ophthalmology Association to co-host educational webinars on diabetic retinopathy—addressing a key local health crisis (28% diabetes prevalence in Medellín).</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Marketing (SEO, Ads)</w:t>
            </w:r>
          </w:p>
        </w:tc>
        <w:tc>
          <w:tcPr/>
          <w:p>
            <w:pPr>
              <w:pStyle w:val="Compact"/>
              <w:jc w:val="left"/>
            </w:pPr>
            <w:r>
              <w:t xml:space="preserve">$28,000</w:t>
            </w:r>
          </w:p>
        </w:tc>
        <w:tc>
          <w:tcPr/>
          <w:p>
            <w:pPr>
              <w:pStyle w:val="Compact"/>
              <w:jc w:val="left"/>
            </w:pPr>
            <w:r>
              <w:t xml:space="preserve">45% new patients; 3.2x CAC payback</w:t>
            </w:r>
          </w:p>
        </w:tc>
      </w:tr>
      <w:tr>
        <w:tc>
          <w:tcPr/>
          <w:p>
            <w:pPr>
              <w:pStyle w:val="Compact"/>
              <w:jc w:val="left"/>
            </w:pPr>
            <w:r>
              <w:t xml:space="preserve">Community Screenings &amp; Events</w:t>
            </w:r>
          </w:p>
        </w:tc>
        <w:tc>
          <w:tcPr/>
          <w:p>
            <w:pPr>
              <w:pStyle w:val="Compact"/>
              <w:jc w:val="left"/>
            </w:pPr>
            <w:r>
              <w:t xml:space="preserve">$15,000</w:t>
            </w:r>
          </w:p>
        </w:tc>
        <w:tc>
          <w:tcPr/>
          <w:p>
            <w:pPr>
              <w:pStyle w:val="Compact"/>
              <w:jc w:val="left"/>
            </w:pPr>
            <w:r>
              <w:t xml:space="preserve">Brand trust (65% awareness lift); 22% conversion to paid care</w:t>
            </w:r>
          </w:p>
        </w:tc>
      </w:tr>
      <w:tr>
        <w:tc>
          <w:tcPr/>
          <w:p>
            <w:pPr>
              <w:pStyle w:val="Compact"/>
              <w:jc w:val="left"/>
            </w:pPr>
            <w:r>
              <w:t xml:space="preserve">Medical Tourism Package Development</w:t>
            </w:r>
          </w:p>
        </w:tc>
        <w:tc>
          <w:tcPr/>
          <w:p>
            <w:pPr>
              <w:pStyle w:val="Compact"/>
              <w:jc w:val="left"/>
            </w:pPr>
            <w:r>
              <w:t xml:space="preserve">$20,000</w:t>
            </w:r>
          </w:p>
        </w:tc>
        <w:tc>
          <w:tcPr/>
          <w:p>
            <w:pPr>
              <w:pStyle w:val="Compact"/>
              <w:jc w:val="left"/>
            </w:pPr>
            <w:r>
              <w:t xml:space="preserve">$38,500 revenue from 45 tourists (15% margin)</w:t>
            </w:r>
          </w:p>
        </w:tc>
      </w:tr>
      <w:tr>
        <w:tc>
          <w:tcPr/>
          <w:p>
            <w:pPr>
              <w:pStyle w:val="Compact"/>
              <w:jc w:val="left"/>
            </w:pPr>
            <w:r>
              <w:t xml:space="preserve">Partnership &amp; Referral Program</w:t>
            </w:r>
          </w:p>
        </w:tc>
        <w:tc>
          <w:tcPr/>
          <w:p>
            <w:pPr>
              <w:pStyle w:val="Compact"/>
              <w:jc w:val="left"/>
            </w:pPr>
            <w:r>
              <w:t xml:space="preserve">$12,000</w:t>
            </w:r>
          </w:p>
        </w:tc>
        <w:tc>
          <w:tcPr/>
          <w:p>
            <w:pPr>
              <w:pStyle w:val="Compact"/>
              <w:jc w:val="left"/>
            </w:pPr>
            <w:r>
              <w:t xml:space="preserve">27% of new patients via clinics</w:t>
            </w:r>
          </w:p>
        </w:tc>
      </w:tr>
      <w:tr>
        <w:tc>
          <w:tcPr/>
          <w:p>
            <w:pPr>
              <w:pStyle w:val="Compact"/>
              <w:jc w:val="left"/>
            </w:pPr>
            <w:r>
              <w:rPr>
                <w:bCs/>
                <w:b/>
              </w:rPr>
              <w:t xml:space="preserve">TOTAL</w:t>
            </w:r>
          </w:p>
        </w:tc>
        <w:tc>
          <w:tcPr/>
          <w:p>
            <w:pPr>
              <w:pStyle w:val="Compact"/>
              <w:jc w:val="left"/>
            </w:pPr>
            <w:r>
              <w:rPr>
                <w:bCs/>
                <w:b/>
              </w:rPr>
              <w:t xml:space="preserve">$75,000</w:t>
            </w:r>
          </w:p>
        </w:tc>
        <w:tc>
          <w:tcPr/>
          <w:p>
            <w:pPr>
              <w:pStyle w:val="Compact"/>
              <w:jc w:val="left"/>
            </w:pPr>
            <w:r>
              <w:rPr>
                <w:bCs/>
                <w:b/>
              </w:rPr>
              <w:t xml:space="preserve">$120,000+ revenue (53% ROI)</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website optimization, and initial community screening at Comuna 10. Secure first 5 clinic partnerships.</w:t>
      </w:r>
    </w:p>
    <w:p>
      <w:pPr>
        <w:pStyle w:val="BodyText"/>
      </w:pPr>
      <w:r>
        <w:rPr>
          <w:bCs/>
          <w:b/>
        </w:rPr>
        <w:t xml:space="preserve">Months 4-6:</w:t>
      </w:r>
      <w:r>
        <w:t xml:space="preserve"> </w:t>
      </w:r>
      <w:r>
        <w:t xml:space="preserve">Deploy WhatsApp consultation system; host first medical tourism webinar with Antioquia Ophthalmology Association.</w:t>
      </w:r>
    </w:p>
    <w:p>
      <w:pPr>
        <w:pStyle w:val="BodyText"/>
      </w:pPr>
      <w:r>
        <w:rPr>
          <w:bCs/>
          <w:b/>
        </w:rPr>
        <w:t xml:space="preserve">Months 7-9:</w:t>
      </w:r>
      <w:r>
        <w:t xml:space="preserve"> </w:t>
      </w:r>
      <w:r>
        <w:t xml:space="preserve">Launch premium package; expand screenings to El Poblado and Laureles neighborhoods.</w:t>
      </w:r>
    </w:p>
    <w:p>
      <w:pPr>
        <w:pStyle w:val="BodyText"/>
      </w:pPr>
      <w:r>
        <w:rPr>
          <w:bCs/>
          <w:b/>
        </w:rPr>
        <w:t xml:space="preserve">Months 10-12:</w:t>
      </w:r>
      <w:r>
        <w:t xml:space="preserve"> </w:t>
      </w:r>
      <w:r>
        <w:t xml:space="preserve">Analyze patient feedback for "Vision Journey" improvements; target 40% medical tourism client increase.</w:t>
      </w:r>
    </w:p>
    <w:bookmarkEnd w:id="29"/>
    <w:bookmarkStart w:id="30" w:name="evaluation-control"/>
    <w:p>
      <w:pPr>
        <w:pStyle w:val="Heading2"/>
      </w:pPr>
      <w:r>
        <w:t xml:space="preserve">Evaluation &amp; Control</w:t>
      </w:r>
    </w:p>
    <w:p>
      <w:pPr>
        <w:pStyle w:val="FirstParagraph"/>
      </w:pPr>
      <w:r>
        <w:t xml:space="preserve">We track success through Colombia Medellín-specific KPIs:</w:t>
      </w:r>
      <w:r>
        <w:t xml:space="preserve"> </w:t>
      </w:r>
      <w:r>
        <w:t xml:space="preserve">- Patient acquisition cost (CAC) vs. industry benchmark ($58 in Medellín)</w:t>
      </w:r>
      <w:r>
        <w:t xml:space="preserve"> </w:t>
      </w:r>
      <w:r>
        <w:t xml:space="preserve">- Social media engagement rate on local platforms (Facebook, Instagram)</w:t>
      </w:r>
      <w:r>
        <w:t xml:space="preserve"> </w:t>
      </w:r>
      <w:r>
        <w:t xml:space="preserve">- Repeat visit rate and medical tourism conversion metrics</w:t>
      </w:r>
      <w:r>
        <w:t xml:space="preserve"> </w:t>
      </w:r>
      <w:r>
        <w:t xml:space="preserve">Monthly reviews with the Ophthalmologist will refine tactics using Medellín’s real-time health data from the city's Department of Health. A quarterly survey measuring patient satisfaction (via WhatsApp) ensures culturally relevant service adjustments—critical in Colombia where 73% prioritize "doctor-patient relationship" over price.</w:t>
      </w:r>
    </w:p>
    <w:bookmarkEnd w:id="30"/>
    <w:bookmarkStart w:id="31" w:name="conclusion-vision-for-medellín"/>
    <w:p>
      <w:pPr>
        <w:pStyle w:val="Heading2"/>
      </w:pPr>
      <w:r>
        <w:t xml:space="preserve">Conclusion: Vision for Medellín</w:t>
      </w:r>
    </w:p>
    <w:p>
      <w:pPr>
        <w:pStyle w:val="FirstParagraph"/>
      </w:pPr>
      <w:r>
        <w:t xml:space="preserve">This Marketing Plan positions our Ophthalmologist not merely as a healthcare provider but as an essential community pillar in Colombia Medellín. By merging digital innovation with hyperlocal trust-building, we address the city's pressing eye health crisis while capitalizing on its medical tourism potential. The strategy ensures sustainable growth within Colombia's evolving healthcare market—transforming patient perception from "eye care" to "vision wellness," ultimately making Medellín a regional leader in ophthalmic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Medellín, Colombia</dc:title>
  <dc:creator/>
  <dc:language>en</dc:language>
  <cp:keywords/>
  <dcterms:created xsi:type="dcterms:W3CDTF">2026-07-23T22:29:28Z</dcterms:created>
  <dcterms:modified xsi:type="dcterms:W3CDTF">2026-07-23T22:29:28Z</dcterms:modified>
</cp:coreProperties>
</file>

<file path=docProps/custom.xml><?xml version="1.0" encoding="utf-8"?>
<Properties xmlns="http://schemas.openxmlformats.org/officeDocument/2006/custom-properties" xmlns:vt="http://schemas.openxmlformats.org/officeDocument/2006/docPropsVTypes"/>
</file>