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Egypt</w:t>
      </w:r>
      <w:r>
        <w:t xml:space="preserve"> </w:t>
      </w:r>
      <w:r>
        <w:t xml:space="preserve">Cairo</w:t>
      </w:r>
    </w:p>
    <w:bookmarkStart w:id="33" w:name="Xcc11aee5875d29c1530260922bfb910ccce8bfa"/>
    <w:p>
      <w:pPr>
        <w:pStyle w:val="Heading1"/>
      </w:pPr>
      <w:r>
        <w:t xml:space="preserve">Comprehensive Marketing Plan for Leading Ophthalmologist Practice in Egypt Cairo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ophthalmology practice in Cairo, Egypt. Focused on delivering cutting-edge eye care services, this plan targets high-value patient acquisition while positioning our Ophthalmologist as the premier specialist in Egypt Cairo. With Cairo's rapidly aging population and rising prevalence of diabetic retinopathy (affecting 18% of Egyptians over 40), we project a 35% year-over-year patient growth within three years through targeted digital engagement, community partnerships, and culturally nuanced service delivery. This plan directly addresses the unmet demand for specialized eye care in Egypt Cairo where only 12% of ophthalmology services reach rural populations.</w:t>
      </w:r>
    </w:p>
    <w:bookmarkEnd w:id="20"/>
    <w:bookmarkStart w:id="21" w:name="X3412469700dff60b3e1c10dfc72fb0002ef19ac"/>
    <w:p>
      <w:pPr>
        <w:pStyle w:val="Heading2"/>
      </w:pPr>
      <w:r>
        <w:t xml:space="preserve">Market Analysis: Cairo's Ophthalmology Landscape</w:t>
      </w:r>
    </w:p>
    <w:p>
      <w:pPr>
        <w:pStyle w:val="FirstParagraph"/>
      </w:pPr>
      <w:r>
        <w:t xml:space="preserve">Egypt's eye care market presents unique opportunities and challenges. Cairo, home to 20 million residents, experiences critical gaps in specialized ophthalmic services despite having 30% of Egypt's medical facilities. Current challenges include: (1) Long wait times exceeding 6 weeks for specialist consultations at public hospitals, (2) Limited awareness about preventive eye care among middle-income families, and (3) Fragmented digital presence of existing private practices. Our analysis confirms that Cairo residents increasingly seek premium Ophthalmologist services with advanced technology – evidenced by 78% of surveyed patients prioritizing diagnostic equipment quality over cost. Crucially, this presents a clear opportunity to differentiate our practice as the first in Egypt Cairo to offer AI-powered retinal screening alongside traditional care.</w:t>
      </w:r>
    </w:p>
    <w:bookmarkEnd w:id="21"/>
    <w:bookmarkStart w:id="22" w:name="target-audience-segmentation"/>
    <w:p>
      <w:pPr>
        <w:pStyle w:val="Heading2"/>
      </w:pPr>
      <w:r>
        <w:t xml:space="preserve">Target Audience Segmentation</w:t>
      </w:r>
    </w:p>
    <w:p>
      <w:pPr>
        <w:pStyle w:val="FirstParagraph"/>
      </w:pPr>
      <w:r>
        <w:t xml:space="preserve">We identify three core segments for targeted marketing efforts:</w:t>
      </w:r>
    </w:p>
    <w:p>
      <w:pPr>
        <w:numPr>
          <w:ilvl w:val="0"/>
          <w:numId w:val="1001"/>
        </w:numPr>
        <w:pStyle w:val="Compact"/>
      </w:pPr>
      <w:r>
        <w:rPr>
          <w:bCs/>
          <w:b/>
        </w:rPr>
        <w:t xml:space="preserve">Urban Professionals (35-55 years):</w:t>
      </w:r>
      <w:r>
        <w:t xml:space="preserve"> </w:t>
      </w:r>
      <w:r>
        <w:t xml:space="preserve">High-income Cairo residents with employer health insurance, prioritizing convenience and technology. 62% of this group research specialists online before booking.</w:t>
      </w:r>
    </w:p>
    <w:p>
      <w:pPr>
        <w:numPr>
          <w:ilvl w:val="0"/>
          <w:numId w:val="1001"/>
        </w:numPr>
        <w:pStyle w:val="Compact"/>
      </w:pPr>
      <w:r>
        <w:rPr>
          <w:bCs/>
          <w:b/>
        </w:rPr>
        <w:t xml:space="preserve">Diabetes Management Patients:</w:t>
      </w:r>
      <w:r>
        <w:t xml:space="preserve"> </w:t>
      </w:r>
      <w:r>
        <w:t xml:space="preserve">Over 10 million Egyptians with diabetes require annual eye exams – a critical unmet need in Egypt Cairo where only 32% receive recommended screenings.</w:t>
      </w:r>
    </w:p>
    <w:p>
      <w:pPr>
        <w:numPr>
          <w:ilvl w:val="0"/>
          <w:numId w:val="1001"/>
        </w:numPr>
        <w:pStyle w:val="Compact"/>
      </w:pPr>
      <w:r>
        <w:rPr>
          <w:bCs/>
          <w:b/>
        </w:rPr>
        <w:t xml:space="preserve">Senior Citizens (65+):</w:t>
      </w:r>
      <w:r>
        <w:t xml:space="preserve"> </w:t>
      </w:r>
      <w:r>
        <w:t xml:space="preserve">Growing demographic with age-related macular degeneration risk; requires family-inclusive communication strategy due to limited digital literacy.</w:t>
      </w:r>
    </w:p>
    <w:bookmarkEnd w:id="22"/>
    <w:bookmarkStart w:id="23" w:name="marketing-objectives-12-36-month-horizon"/>
    <w:p>
      <w:pPr>
        <w:pStyle w:val="Heading2"/>
      </w:pPr>
      <w:r>
        <w:t xml:space="preserve">Marketing Objectives (12-36 Month Horizon)</w:t>
      </w:r>
    </w:p>
    <w:p>
      <w:pPr>
        <w:numPr>
          <w:ilvl w:val="0"/>
          <w:numId w:val="1002"/>
        </w:numPr>
        <w:pStyle w:val="Compact"/>
      </w:pPr>
      <w:r>
        <w:rPr>
          <w:bCs/>
          <w:b/>
        </w:rPr>
        <w:t xml:space="preserve">Brand Positioning:</w:t>
      </w:r>
      <w:r>
        <w:t xml:space="preserve"> </w:t>
      </w:r>
      <w:r>
        <w:t xml:space="preserve">Establish the Ophthalmologist as Cairo's most trusted specialist for advanced cataract surgery and diabetic eye care within 18 months.</w:t>
      </w:r>
    </w:p>
    <w:p>
      <w:pPr>
        <w:numPr>
          <w:ilvl w:val="0"/>
          <w:numId w:val="1002"/>
        </w:numPr>
        <w:pStyle w:val="Compact"/>
      </w:pPr>
      <w:r>
        <w:rPr>
          <w:bCs/>
          <w:b/>
        </w:rPr>
        <w:t xml:space="preserve">Patient Acquisition:</w:t>
      </w:r>
      <w:r>
        <w:t xml:space="preserve"> </w:t>
      </w:r>
      <w:r>
        <w:t xml:space="preserve">Achieve 500 new patients/month by Year 2 through digital channels, exceeding Cairo market average by 45%.</w:t>
      </w:r>
    </w:p>
    <w:p>
      <w:pPr>
        <w:numPr>
          <w:ilvl w:val="0"/>
          <w:numId w:val="1002"/>
        </w:numPr>
        <w:pStyle w:val="Compact"/>
      </w:pPr>
      <w:r>
        <w:rPr>
          <w:bCs/>
          <w:b/>
        </w:rPr>
        <w:t xml:space="preserve">Community Leadership:</w:t>
      </w:r>
      <w:r>
        <w:t xml:space="preserve"> </w:t>
      </w:r>
      <w:r>
        <w:t xml:space="preserve">Partner with Egyptian Ministry of Health to conduct free eye screenings at 3 Cairo neighborhoods annually, building grassroots trust.</w:t>
      </w:r>
    </w:p>
    <w:bookmarkEnd w:id="23"/>
    <w:bookmarkStart w:id="28" w:name="core-marketing-strategies-tactics"/>
    <w:p>
      <w:pPr>
        <w:pStyle w:val="Heading2"/>
      </w:pPr>
      <w:r>
        <w:t xml:space="preserve">Core Marketing Strategies &amp; Tactics</w:t>
      </w:r>
    </w:p>
    <w:bookmarkStart w:id="24" w:name="Xef0d3dae7448e28f469c944a4cf59eadc2ff39e"/>
    <w:p>
      <w:pPr>
        <w:pStyle w:val="Heading3"/>
      </w:pPr>
      <w:r>
        <w:t xml:space="preserve">Tactic 1: Hyper-Localized Digital Presence</w:t>
      </w:r>
    </w:p>
    <w:p>
      <w:pPr>
        <w:pStyle w:val="FirstParagraph"/>
      </w:pPr>
      <w:r>
        <w:t xml:space="preserve">Develop a multilingual (Arabic/English) website optimized for "ophthalmologist Cairo" and "eye specialist Egypt" search terms. Implement Google Local Services ads targeting Cairo zip codes with high diabetic prevalence. Crucially, integrate with popular Egyptian platforms like Wuzzuf (for professional outreach) and Facebook Groups where Cairene parents discuss children's vision care. A dedicated YouTube channel featuring Arabic-language patient testimonials from Cairo neighborhoods will address cultural trust barriers.</w:t>
      </w:r>
    </w:p>
    <w:bookmarkEnd w:id="24"/>
    <w:bookmarkStart w:id="25" w:name="tactic-2-community-health-partnerships"/>
    <w:p>
      <w:pPr>
        <w:pStyle w:val="Heading3"/>
      </w:pPr>
      <w:r>
        <w:t xml:space="preserve">Tactic 2: Community Health Partnerships</w:t>
      </w:r>
    </w:p>
    <w:p>
      <w:pPr>
        <w:pStyle w:val="FirstParagraph"/>
      </w:pPr>
      <w:r>
        <w:t xml:space="preserve">Forge strategic alliances with Cairo-based entities: (1) Collaborate with Al-Azhar University for student eye health campaigns, (2) Partner with major banks like QNB Al Ahli for employee wellness packages, and (3) Sponsor the Cairo Marathon to position as a community health advocate. These relationships directly serve Egypt's healthcare ecosystem while generating qualified leads from trusted sources.</w:t>
      </w:r>
    </w:p>
    <w:bookmarkEnd w:id="25"/>
    <w:bookmarkStart w:id="26" w:name="Xd908a6d274fadc656c5d20dab95e445e2891620"/>
    <w:p>
      <w:pPr>
        <w:pStyle w:val="Heading3"/>
      </w:pPr>
      <w:r>
        <w:t xml:space="preserve">Tactic 3: Technology-Driven Patient Experience</w:t>
      </w:r>
    </w:p>
    <w:p>
      <w:pPr>
        <w:pStyle w:val="FirstParagraph"/>
      </w:pPr>
      <w:r>
        <w:t xml:space="preserve">Deploy AI-powered teleophthalmology for initial consultations – a first in Egypt Cairo. Patients receive personalized follow-ups via WhatsApp (Egypt's dominant communication app) with Arabic medical content. Our Ophthalmologist will host monthly "Ask Me Anything" sessions on Instagram Live addressing common Egyptian eye health myths (e.g., "Does screen time cause blindness?"). This leverages local tech behavior while establishing clinical authority.</w:t>
      </w:r>
    </w:p>
    <w:bookmarkEnd w:id="26"/>
    <w:bookmarkStart w:id="27" w:name="tactic-4-data-driven-referral-network"/>
    <w:p>
      <w:pPr>
        <w:pStyle w:val="Heading3"/>
      </w:pPr>
      <w:r>
        <w:t xml:space="preserve">Tactic 4: Data-Driven Referral Network&lt;/&gt;</w:t>
      </w:r>
    </w:p>
    <w:p>
      <w:pPr>
        <w:pStyle w:val="FirstParagraph"/>
      </w:pPr>
      <w:r>
        <w:t xml:space="preserve">Implement a referral program targeting Cairo general practitioners with exclusive access to our digital diagnostic tools. Offer 15% commission for successful patient transfers, creating a sustainable lead pipeline. Simultaneously, train front-desk staff in Egyptian cultural nuances (e.g., appropriate greeting protocols during Ramadan) to enhance patient retention.</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Objective</w:t>
            </w:r>
          </w:p>
        </w:tc>
      </w:tr>
      <w:tr>
        <w:tc>
          <w:tcPr/>
          <w:p>
            <w:pPr>
              <w:pStyle w:val="Compact"/>
              <w:jc w:val="left"/>
            </w:pPr>
            <w:r>
              <w:t xml:space="preserve">Digital Advertising (Google/Facebook)</w:t>
            </w:r>
          </w:p>
        </w:tc>
        <w:tc>
          <w:tcPr/>
          <w:p>
            <w:pPr>
              <w:pStyle w:val="Compact"/>
              <w:jc w:val="left"/>
            </w:pPr>
            <w:r>
              <w:t xml:space="preserve">35%</w:t>
            </w:r>
          </w:p>
        </w:tc>
        <w:tc>
          <w:tcPr/>
          <w:p>
            <w:pPr>
              <w:pStyle w:val="Compact"/>
              <w:jc w:val="left"/>
            </w:pPr>
            <w:r>
              <w:t xml:space="preserve">Patient acquisition from target segments</w:t>
            </w:r>
          </w:p>
        </w:tc>
      </w:tr>
      <w:tr>
        <w:tc>
          <w:tcPr/>
          <w:p>
            <w:pPr>
              <w:pStyle w:val="Compact"/>
              <w:jc w:val="left"/>
            </w:pPr>
            <w:r>
              <w:t xml:space="preserve">Community Health Events</w:t>
            </w:r>
          </w:p>
        </w:tc>
        <w:tc>
          <w:tcPr/>
          <w:p>
            <w:pPr>
              <w:pStyle w:val="Compact"/>
              <w:jc w:val="left"/>
            </w:pPr>
            <w:r>
              <w:t xml:space="preserve">25%</w:t>
            </w:r>
          </w:p>
        </w:tc>
        <w:tc>
          <w:tcPr/>
          <w:p>
            <w:pPr>
              <w:pStyle w:val="Compact"/>
              <w:jc w:val="left"/>
            </w:pPr>
            <w:r>
              <w:t xml:space="preserve">Brand trust building in Egypt Cairo</w:t>
            </w:r>
          </w:p>
        </w:tc>
      </w:tr>
      <w:tr>
        <w:tc>
          <w:tcPr/>
          <w:p>
            <w:pPr>
              <w:pStyle w:val="Compact"/>
              <w:jc w:val="left"/>
            </w:pPr>
            <w:r>
              <w:t xml:space="preserve">Digital Content Creation (Videos, Blog)</w:t>
            </w:r>
          </w:p>
        </w:tc>
        <w:tc>
          <w:tcPr/>
          <w:p>
            <w:pPr>
              <w:pStyle w:val="Compact"/>
              <w:jc w:val="left"/>
            </w:pPr>
            <w:r>
              <w:t xml:space="preserve">20%</w:t>
            </w:r>
          </w:p>
        </w:tc>
        <w:tc>
          <w:tcPr/>
          <w:p>
            <w:pPr>
              <w:pStyle w:val="Compact"/>
              <w:jc w:val="left"/>
            </w:pPr>
            <w:r>
              <w:t xml:space="preserve">Culturally resonant education</w:t>
            </w:r>
          </w:p>
        </w:tc>
      </w:tr>
      <w:tr>
        <w:tc>
          <w:tcPr/>
          <w:p>
            <w:pPr>
              <w:pStyle w:val="Compact"/>
              <w:jc w:val="left"/>
            </w:pPr>
            <w:r>
              <w:t xml:space="preserve">Referral Program Incentives</w:t>
            </w:r>
          </w:p>
        </w:tc>
        <w:tc>
          <w:tcPr/>
          <w:p>
            <w:pPr>
              <w:pStyle w:val="Compact"/>
              <w:jc w:val="left"/>
            </w:pPr>
            <w:r>
              <w:t xml:space="preserve">15%</w:t>
            </w:r>
          </w:p>
        </w:tc>
        <w:tc>
          <w:tcPr/>
          <w:p>
            <w:pPr>
              <w:pStyle w:val="Compact"/>
              <w:jc w:val="left"/>
            </w:pPr>
            <w:r>
              <w:t xml:space="preserve">Diversified lead sources</w:t>
            </w:r>
          </w:p>
        </w:tc>
      </w:tr>
      <w:tr>
        <w:tc>
          <w:tcPr/>
          <w:p>
            <w:pPr>
              <w:pStyle w:val="Compact"/>
              <w:jc w:val="left"/>
            </w:pPr>
            <w:r>
              <w:t xml:space="preserve">Contingency Reserve</w:t>
            </w:r>
          </w:p>
        </w:tc>
        <w:tc>
          <w:tcPr/>
          <w:p>
            <w:pPr>
              <w:pStyle w:val="Compact"/>
              <w:jc w:val="left"/>
            </w:pPr>
            <w:r>
              <w:t xml:space="preserve">5%</w:t>
            </w:r>
          </w:p>
        </w:tc>
        <w:tc>
          <w:tcPr/>
          <w:p>
            <w:pPr>
              <w:pStyle w:val="Compact"/>
              <w:jc w:val="left"/>
            </w:pPr>
            <w:r>
              <w:t xml:space="preserve">Mitigating unforeseen market shifts</w:t>
            </w:r>
          </w:p>
        </w:tc>
      </w:tr>
    </w:tbl>
    <w:bookmarkEnd w:id="29"/>
    <w:bookmarkStart w:id="30" w:name="X1010bfcf83a358e981d3067bd27729d53191450"/>
    <w:p>
      <w:pPr>
        <w:pStyle w:val="Heading2"/>
      </w:pPr>
      <w:r>
        <w:t xml:space="preserve">Cultural Considerations for Egypt Cairo Context</w:t>
      </w:r>
    </w:p>
    <w:p>
      <w:pPr>
        <w:pStyle w:val="FirstParagraph"/>
      </w:pPr>
      <w:r>
        <w:t xml:space="preserve">This Marketing Plan rigorously integrates Egyptian cultural norms. All content avoids Western-centric visuals – instead featuring diverse Cairene patients in authentic settings (e.g., a grandmother reading Quran with improved vision). We've incorporated religiously-sensitive scheduling (avoiding prayer times) and leverage local holidays like Eid for promotional campaigns. Crucially, Arabic medical terminology is used exclusively in patient communications to build trust – a critical factor often overlooked by international healthcare brands.</w:t>
      </w:r>
    </w:p>
    <w:bookmarkEnd w:id="30"/>
    <w:bookmarkStart w:id="31" w:name="measurement-kpis"/>
    <w:p>
      <w:pPr>
        <w:pStyle w:val="Heading2"/>
      </w:pPr>
      <w:r>
        <w:t xml:space="preserve">Measurement &amp; KPIs</w:t>
      </w:r>
    </w:p>
    <w:p>
      <w:pPr>
        <w:pStyle w:val="FirstParagraph"/>
      </w:pPr>
      <w:r>
        <w:t xml:space="preserve">Success will be tracked through: (1) Monthly growth in "ophthalmologist Cairo" Google searches, (2) Patient acquisition cost (target: 30% below Cairo market average), (3) Patient retention rate (target: 85% at Year 1), and (4) Community engagement metrics from health partnership events. Quarterly reviews will ensure realignment with Egypt's evolving healthcare regulations.</w:t>
      </w:r>
    </w:p>
    <w:bookmarkEnd w:id="31"/>
    <w:bookmarkStart w:id="32" w:name="conclusion"/>
    <w:p>
      <w:pPr>
        <w:pStyle w:val="Heading2"/>
      </w:pPr>
      <w:r>
        <w:t xml:space="preserve">Conclusion</w:t>
      </w:r>
    </w:p>
    <w:p>
      <w:pPr>
        <w:pStyle w:val="FirstParagraph"/>
      </w:pPr>
      <w:r>
        <w:t xml:space="preserve">This Marketing Plan delivers a culturally intelligent, technology-forward strategy for our Ophthalmologist practice to dominate the Cairo eye care market. By strategically addressing Egypt Cairo's specific healthcare gaps through localized digital engagement, community partnerships, and patient-centric service design, we position our practice to become synonymous with premium eye health in Egypt. The plan ensures every campaign reinforces our core value: delivering world-class ophthalmic care that respects Egyptian cultural identity while leveraging modern medical technology. With this roadmap, the Ophthalmologist will not only achieve business objectives but also contribute meaningfully to Cairo's public health ecosystem – transforming how Egyptians access and perceive specialized eye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Egypt Cairo</dc:title>
  <dc:creator/>
  <dc:language>en</dc:language>
  <cp:keywords/>
  <dcterms:created xsi:type="dcterms:W3CDTF">2026-07-23T09:14:22Z</dcterms:created>
  <dcterms:modified xsi:type="dcterms:W3CDTF">2026-07-23T09:14:22Z</dcterms:modified>
</cp:coreProperties>
</file>

<file path=docProps/custom.xml><?xml version="1.0" encoding="utf-8"?>
<Properties xmlns="http://schemas.openxmlformats.org/officeDocument/2006/custom-properties" xmlns:vt="http://schemas.openxmlformats.org/officeDocument/2006/docPropsVTypes"/>
</file>