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Germany</w:t>
      </w:r>
      <w:r>
        <w:t xml:space="preserve"> </w:t>
      </w:r>
      <w:r>
        <w:t xml:space="preserve">Berlin</w:t>
      </w:r>
    </w:p>
    <w:bookmarkStart w:id="32" w:name="Xcc3465b1fe580cd2b6407a6435f62d01dfbc7f3"/>
    <w:p>
      <w:pPr>
        <w:pStyle w:val="Heading1"/>
      </w:pPr>
      <w:r>
        <w:t xml:space="preserve">Comprehensive Marketing Plan for a Premier Ophthalmologist Practice in Germany Berlin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ophthalmology practice in Berlin, Germany. As the demand for specialized eye care surges in urban centers like Berlin, this plan positions our Ophthalmologist as the trusted leader in comprehensive eye health services. Targeting Berlin's diverse population of 3.7 million residents and international community, we leverage Germany's advanced healthcare infrastructure while addressing critical gaps in accessibility and patient experience. This Marketing Plan integrates digital innovation with traditional German healthcare protocols to deliver exceptional outcomes.</w:t>
      </w:r>
    </w:p>
    <w:bookmarkEnd w:id="20"/>
    <w:bookmarkStart w:id="21" w:name="Xc722654569cc76c54e4f15a07d5f6c251d1883b"/>
    <w:p>
      <w:pPr>
        <w:pStyle w:val="Heading2"/>
      </w:pPr>
      <w:r>
        <w:t xml:space="preserve">Market Analysis: Ophthalmology Landscape in Germany Berlin</w:t>
      </w:r>
    </w:p>
    <w:p>
      <w:pPr>
        <w:pStyle w:val="FirstParagraph"/>
      </w:pPr>
      <w:r>
        <w:t xml:space="preserve">Germany's ophthalmology market demonstrates robust growth, with Berlin representing a high-potential hub due to its aging population (17% over 65) and rising prevalence of age-related macular degeneration (AMD) and diabetic retinopathy. Current data reveals 38% of Berlin residents aged 60+ experience vision impairment, yet only 52% receive regular specialist care – creating a significant service gap. Competitors include large clinics like Charité Hospital's ophthalmology department and independent practices, but most lack integrated patient journeys or German-language digital tools for expatriates. This Marketing Plan capitalizes on these insights to position our Ophthalmologist as the solution-focused choice in Germany Berlin.</w:t>
      </w:r>
    </w:p>
    <w:bookmarkEnd w:id="21"/>
    <w:bookmarkStart w:id="22" w:name="marketing-objectives"/>
    <w:p>
      <w:pPr>
        <w:pStyle w:val="Heading2"/>
      </w:pPr>
      <w:r>
        <w:t xml:space="preserve">Marketing Objectives</w:t>
      </w:r>
    </w:p>
    <w:p>
      <w:pPr>
        <w:numPr>
          <w:ilvl w:val="0"/>
          <w:numId w:val="1001"/>
        </w:numPr>
        <w:pStyle w:val="Compact"/>
      </w:pPr>
      <w:r>
        <w:t xml:space="preserve">Attain 150 new patients within 12 months through targeted digital and community engagement.</w:t>
      </w:r>
    </w:p>
    <w:p>
      <w:pPr>
        <w:numPr>
          <w:ilvl w:val="0"/>
          <w:numId w:val="1001"/>
        </w:numPr>
        <w:pStyle w:val="Compact"/>
      </w:pPr>
      <w:r>
        <w:t xml:space="preserve">Secure 40% market share among privately insured patients (AOK, TK, etc.) in Berlin's Tier-1 districts (Mitte, Friedrichshain-Kreuzberg).</w:t>
      </w:r>
    </w:p>
    <w:p>
      <w:pPr>
        <w:numPr>
          <w:ilvl w:val="0"/>
          <w:numId w:val="1001"/>
        </w:numPr>
        <w:pStyle w:val="Compact"/>
      </w:pPr>
      <w:r>
        <w:t xml:space="preserve">Establish the Ophthalmologist as Germany's top-rated specialist for cataract surgery and glaucoma management by Year 2.</w:t>
      </w:r>
    </w:p>
    <w:p>
      <w:pPr>
        <w:numPr>
          <w:ilvl w:val="0"/>
          <w:numId w:val="1001"/>
        </w:numPr>
        <w:pStyle w:val="Compact"/>
      </w:pPr>
      <w:r>
        <w:t xml:space="preserve">Drive 35% of patient acquisition through multilingual digital channels catering to Berlin's international community.</w:t>
      </w:r>
    </w:p>
    <w:bookmarkEnd w:id="22"/>
    <w:bookmarkStart w:id="23" w:name="target-audience"/>
    <w:p>
      <w:pPr>
        <w:pStyle w:val="Heading2"/>
      </w:pPr>
      <w:r>
        <w:t xml:space="preserve">Target Audience</w:t>
      </w:r>
    </w:p>
    <w:p>
      <w:pPr>
        <w:pStyle w:val="FirstParagraph"/>
      </w:pPr>
      <w:r>
        <w:t xml:space="preserve">Our primary segments include:</w:t>
      </w:r>
    </w:p>
    <w:p>
      <w:pPr>
        <w:numPr>
          <w:ilvl w:val="0"/>
          <w:numId w:val="1002"/>
        </w:numPr>
        <w:pStyle w:val="Compact"/>
      </w:pPr>
      <w:r>
        <w:rPr>
          <w:bCs/>
          <w:b/>
        </w:rPr>
        <w:t xml:space="preserve">Aging Berliners (55+ years):</w:t>
      </w:r>
      <w:r>
        <w:t xml:space="preserve"> </w:t>
      </w:r>
      <w:r>
        <w:t xml:space="preserve">Focused on preventive care, cataract surgery, and chronic disease management. 78% prefer German-language communication.</w:t>
      </w:r>
    </w:p>
    <w:p>
      <w:pPr>
        <w:numPr>
          <w:ilvl w:val="0"/>
          <w:numId w:val="1002"/>
        </w:numPr>
        <w:pStyle w:val="Compact"/>
      </w:pPr>
      <w:r>
        <w:rPr>
          <w:bCs/>
          <w:b/>
        </w:rPr>
        <w:t xml:space="preserve">International Professionals (30-45 years):</w:t>
      </w:r>
      <w:r>
        <w:t xml:space="preserve"> </w:t>
      </w:r>
      <w:r>
        <w:t xml:space="preserve">Expatriates working in Berlin's tech/finance sectors requiring English/French/German bilingual services.</w:t>
      </w:r>
    </w:p>
    <w:p>
      <w:pPr>
        <w:numPr>
          <w:ilvl w:val="0"/>
          <w:numId w:val="1002"/>
        </w:numPr>
        <w:pStyle w:val="Compact"/>
      </w:pPr>
      <w:r>
        <w:rPr>
          <w:bCs/>
          <w:b/>
        </w:rPr>
        <w:t xml:space="preserve">Private Insurance Holders:</w:t>
      </w:r>
      <w:r>
        <w:t xml:space="preserve"> </w:t>
      </w:r>
      <w:r>
        <w:t xml:space="preserve">Patients with supplemental insurance seeking premium care without lengthy public clinic wait times.</w:t>
      </w:r>
    </w:p>
    <w:p>
      <w:pPr>
        <w:pStyle w:val="FirstParagraph"/>
      </w:pPr>
      <w:r>
        <w:t xml:space="preserve">This Marketing Plan ensures all patient touchpoints respect German healthcare privacy laws (GDPR) while delivering Berlin-specific convenience – including same-day appointments for urgent cases and multilingual telehealth consultations.</w:t>
      </w:r>
    </w:p>
    <w:bookmarkEnd w:id="23"/>
    <w:bookmarkStart w:id="27" w:name="X467152b1ef3493603d0c0e0d34fe569be2bad23"/>
    <w:p>
      <w:pPr>
        <w:pStyle w:val="Heading2"/>
      </w:pPr>
      <w:r>
        <w:t xml:space="preserve">Marketing Strategies: The 4Ps for Germany Berlin</w:t>
      </w:r>
    </w:p>
    <w:bookmarkStart w:id="24" w:name="product-strategy"/>
    <w:p>
      <w:pPr>
        <w:pStyle w:val="Heading3"/>
      </w:pPr>
      <w:r>
        <w:t xml:space="preserve">Product Strategy</w:t>
      </w:r>
    </w:p>
    <w:p>
      <w:pPr>
        <w:pStyle w:val="FirstParagraph"/>
      </w:pPr>
      <w:r>
        <w:t xml:space="preserve">We offer a differentiated service portfolio tailored to Berlin's needs:</w:t>
      </w:r>
    </w:p>
    <w:p>
      <w:pPr>
        <w:numPr>
          <w:ilvl w:val="0"/>
          <w:numId w:val="1003"/>
        </w:numPr>
        <w:pStyle w:val="Compact"/>
      </w:pPr>
      <w:r>
        <w:rPr>
          <w:bCs/>
          <w:b/>
        </w:rPr>
        <w:t xml:space="preserve">Preventive Eye Screening Packages:</w:t>
      </w:r>
      <w:r>
        <w:t xml:space="preserve"> </w:t>
      </w:r>
      <w:r>
        <w:t xml:space="preserve">Bundled exams for Berliners with high diabetes risk (12% prevalence citywide).</w:t>
      </w:r>
    </w:p>
    <w:p>
      <w:pPr>
        <w:numPr>
          <w:ilvl w:val="0"/>
          <w:numId w:val="1003"/>
        </w:numPr>
        <w:pStyle w:val="Compact"/>
      </w:pPr>
      <w:r>
        <w:rPr>
          <w:bCs/>
          <w:b/>
        </w:rPr>
        <w:t xml:space="preserve">Multilingual Digital Platform:</w:t>
      </w:r>
      <w:r>
        <w:t xml:space="preserve"> </w:t>
      </w:r>
      <w:r>
        <w:t xml:space="preserve">German/English/French patient portal with appointment booking, medical record access, and AI-driven vision health analytics.</w:t>
      </w:r>
    </w:p>
    <w:p>
      <w:pPr>
        <w:numPr>
          <w:ilvl w:val="0"/>
          <w:numId w:val="1003"/>
        </w:numPr>
        <w:pStyle w:val="Compact"/>
      </w:pPr>
      <w:r>
        <w:rPr>
          <w:bCs/>
          <w:b/>
        </w:rPr>
        <w:t xml:space="preserve">Urgent Care Network:</w:t>
      </w:r>
      <w:r>
        <w:t xml:space="preserve"> </w:t>
      </w:r>
      <w:r>
        <w:t xml:space="preserve">Partnership with Berlin emergency clinics for 24-hour retinal detachment referrals – addressing critical gaps in current Germany Berlin ophthalmology services.</w:t>
      </w:r>
    </w:p>
    <w:bookmarkEnd w:id="24"/>
    <w:bookmarkStart w:id="25" w:name="pricing-strategy"/>
    <w:p>
      <w:pPr>
        <w:pStyle w:val="Heading3"/>
      </w:pPr>
      <w:r>
        <w:t xml:space="preserve">Pricing Strategy</w:t>
      </w:r>
    </w:p>
    <w:p>
      <w:pPr>
        <w:pStyle w:val="FirstParagraph"/>
      </w:pPr>
      <w:r>
        <w:t xml:space="preserve">Competitive premium pricing aligned with German insurance standards:</w:t>
      </w:r>
    </w:p>
    <w:p>
      <w:pPr>
        <w:numPr>
          <w:ilvl w:val="0"/>
          <w:numId w:val="1004"/>
        </w:numPr>
        <w:pStyle w:val="Compact"/>
      </w:pPr>
      <w:r>
        <w:t xml:space="preserve">Standard check-ups: €120 (below public clinic averages)</w:t>
      </w:r>
    </w:p>
    <w:p>
      <w:pPr>
        <w:numPr>
          <w:ilvl w:val="0"/>
          <w:numId w:val="1004"/>
        </w:numPr>
        <w:pStyle w:val="Compact"/>
      </w:pPr>
      <w:r>
        <w:t xml:space="preserve">Cataract surgery: €2,850 (includes all post-op care – below private clinic median of €3,200)</w:t>
      </w:r>
    </w:p>
    <w:p>
      <w:pPr>
        <w:numPr>
          <w:ilvl w:val="0"/>
          <w:numId w:val="1004"/>
        </w:numPr>
        <w:pStyle w:val="Compact"/>
      </w:pPr>
      <w:r>
        <w:t xml:space="preserve">Subscription model for chronic conditions (e.g., glaucoma): €49/month for unlimited virtual consultations</w:t>
      </w:r>
    </w:p>
    <w:p>
      <w:pPr>
        <w:pStyle w:val="FirstParagraph"/>
      </w:pPr>
      <w:r>
        <w:t xml:space="preserve">This Marketing Plan avoids price undercutting while emphasizing value through reduced wait times and comprehensive care – key priorities for Berlin patients.</w:t>
      </w:r>
    </w:p>
    <w:bookmarkEnd w:id="25"/>
    <w:bookmarkStart w:id="26" w:name="place-strategy"/>
    <w:p>
      <w:pPr>
        <w:pStyle w:val="Heading3"/>
      </w:pPr>
      <w:r>
        <w:t xml:space="preserve">Place Strategy</w:t>
      </w:r>
    </w:p>
    <w:p>
      <w:pPr>
        <w:pStyle w:val="FirstParagraph"/>
      </w:pPr>
      <w:r>
        <w:t xml:space="preserve">Strategic physical and digital presence in Berlin:</w:t>
      </w:r>
    </w:p>
    <w:p>
      <w:pPr>
        <w:numPr>
          <w:ilvl w:val="0"/>
          <w:numId w:val="1005"/>
        </w:numPr>
        <w:pStyle w:val="Compact"/>
      </w:pPr>
      <w:r>
        <w:rPr>
          <w:bCs/>
          <w:b/>
        </w:rPr>
        <w:t xml:space="preserve">Location:</w:t>
      </w:r>
      <w:r>
        <w:t xml:space="preserve"> </w:t>
      </w:r>
      <w:r>
        <w:t xml:space="preserve">Central practice at Friedrichstraße 150 (Mitte district), within walking distance of U-Bahn stations, serving Berlin's highest density of affluent residents.</w:t>
      </w:r>
    </w:p>
    <w:p>
      <w:pPr>
        <w:numPr>
          <w:ilvl w:val="0"/>
          <w:numId w:val="1005"/>
        </w:numPr>
        <w:pStyle w:val="Compact"/>
      </w:pPr>
      <w:r>
        <w:rPr>
          <w:bCs/>
          <w:b/>
        </w:rPr>
        <w:t xml:space="preserve">Digital Presence:</w:t>
      </w:r>
      <w:r>
        <w:t xml:space="preserve"> </w:t>
      </w:r>
      <w:r>
        <w:t xml:space="preserve">Optimized Google My Business profile with Berlin-specific keywords ("Ophthalmologe Berlin", "Augenarzt Mitte"), integrated with German health platforms like DocCheck.</w:t>
      </w:r>
    </w:p>
    <w:p>
      <w:pPr>
        <w:numPr>
          <w:ilvl w:val="0"/>
          <w:numId w:val="1005"/>
        </w:numPr>
        <w:pStyle w:val="Compact"/>
      </w:pPr>
      <w:r>
        <w:rPr>
          <w:bCs/>
          <w:b/>
        </w:rPr>
        <w:t xml:space="preserve">Partnerships:</w:t>
      </w:r>
      <w:r>
        <w:t xml:space="preserve"> </w:t>
      </w:r>
      <w:r>
        <w:t xml:space="preserve">Collaborations with Berlin employers (e.g., Siemens, Bosch) for corporate eye health programs and local pharmacies for medication dispensing.</w:t>
      </w:r>
    </w:p>
    <w:p>
      <w:pPr>
        <w:pStyle w:val="FirstParagraph"/>
      </w:pPr>
      <w:r>
        <w:t xml:space="preserve">Promotion Strategy</w:t>
      </w:r>
    </w:p>
    <w:p>
      <w:pPr>
        <w:pStyle w:val="BodyText"/>
      </w:pPr>
      <w:r>
        <w:t xml:space="preserve">Multi-channel engagement respecting German marketing ethics:</w:t>
      </w:r>
    </w:p>
    <w:p>
      <w:pPr>
        <w:numPr>
          <w:ilvl w:val="0"/>
          <w:numId w:val="1006"/>
        </w:numPr>
        <w:pStyle w:val="Compact"/>
      </w:pPr>
      <w:r>
        <w:rPr>
          <w:bCs/>
          <w:b/>
        </w:rPr>
        <w:t xml:space="preserve">Digital Marketing:</w:t>
      </w:r>
      <w:r>
        <w:t xml:space="preserve"> </w:t>
      </w:r>
      <w:r>
        <w:t xml:space="preserve">Geo-targeted Instagram/Facebook ads showcasing Berlin patient testimonials (with GDPR-compliant consent), SEO-optimized blog on "Vision Health in Berlin's Air Quality" (addressing local pollution concerns).</w:t>
      </w:r>
    </w:p>
    <w:p>
      <w:pPr>
        <w:numPr>
          <w:ilvl w:val="0"/>
          <w:numId w:val="1006"/>
        </w:numPr>
        <w:pStyle w:val="Compact"/>
      </w:pPr>
      <w:r>
        <w:rPr>
          <w:bCs/>
          <w:b/>
        </w:rPr>
        <w:t xml:space="preserve">Community Engagement:</w:t>
      </w:r>
      <w:r>
        <w:t xml:space="preserve"> </w:t>
      </w:r>
      <w:r>
        <w:t xml:space="preserve">Free vision screenings at Berlin community centers (e.g., Kiez events in Kreuzberg) and partnerships with Berlin schools for child eye health education.</w:t>
      </w:r>
    </w:p>
    <w:p>
      <w:pPr>
        <w:numPr>
          <w:ilvl w:val="0"/>
          <w:numId w:val="1006"/>
        </w:numPr>
        <w:pStyle w:val="Compact"/>
      </w:pPr>
      <w:r>
        <w:rPr>
          <w:bCs/>
          <w:b/>
        </w:rPr>
        <w:t xml:space="preserve">Professional Networking:</w:t>
      </w:r>
      <w:r>
        <w:t xml:space="preserve"> </w:t>
      </w:r>
      <w:r>
        <w:t xml:space="preserve">Speaker engagements at Berlin Medical Society events, publishing research on "Ophthalmology Trends in German Urban Centers" to establish thought leadership.</w:t>
      </w:r>
    </w:p>
    <w:p>
      <w:pPr>
        <w:numPr>
          <w:ilvl w:val="0"/>
          <w:numId w:val="1006"/>
        </w:numPr>
        <w:pStyle w:val="Compact"/>
      </w:pPr>
      <w:r>
        <w:rPr>
          <w:bCs/>
          <w:b/>
        </w:rPr>
        <w:t xml:space="preserve">Referral Program:</w:t>
      </w:r>
      <w:r>
        <w:t xml:space="preserve"> </w:t>
      </w:r>
      <w:r>
        <w:t xml:space="preserve">Incentivized network with Berlin general practitioners (GPs) through streamlined digital referral workflows – critical for Germany's patient-centered care model.</w:t>
      </w:r>
    </w:p>
    <w:bookmarkEnd w:id="26"/>
    <w:bookmarkEnd w:id="27"/>
    <w:bookmarkStart w:id="28" w:name="budget-allocation"/>
    <w:p>
      <w:pPr>
        <w:pStyle w:val="Heading2"/>
      </w:pPr>
      <w:r>
        <w:t xml:space="preserve">Budget Allocation</w:t>
      </w:r>
    </w:p>
    <w:p>
      <w:pPr>
        <w:pStyle w:val="FirstParagraph"/>
      </w:pPr>
      <w:r>
        <w:t xml:space="preserve">Total annual budget: €148,000 (5% of projected revenue). Breakdown:</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Digital Advertising</w:t>
      </w:r>
    </w:p>
    <w:p>
      <w:pPr>
        <w:pStyle w:val="BodyText"/>
      </w:pPr>
      <w:r>
        <w:t xml:space="preserve">€42,000 (28%)</w:t>
      </w:r>
    </w:p>
    <w:p>
      <w:pPr>
        <w:pStyle w:val="BodyText"/>
      </w:pPr>
      <w:r>
        <w:t xml:space="preserve">Geo-targeted social media, SEO, Berlin-specific keyword campaigns.</w:t>
      </w:r>
    </w:p>
    <w:p>
      <w:pPr>
        <w:pStyle w:val="BodyText"/>
      </w:pPr>
      <w:r>
        <w:t xml:space="preserve">Community Events</w:t>
      </w:r>
    </w:p>
    <w:p>
      <w:pPr>
        <w:pStyle w:val="BodyText"/>
      </w:pPr>
      <w:r>
        <w:t xml:space="preserve">€36,000 (24%)</w:t>
      </w:r>
    </w:p>
    <w:p>
      <w:pPr>
        <w:pStyle w:val="BodyText"/>
      </w:pPr>
      <w:r>
        <w:t xml:space="preserve">Digital Platform Development</w:t>
      </w:r>
    </w:p>
    <w:p>
      <w:pPr>
        <w:pStyle w:val="BodyText"/>
      </w:pPr>
      <w:r>
        <w:t xml:space="preserve">€38,000 (26%)</w:t>
      </w:r>
    </w:p>
    <w:p>
      <w:pPr>
        <w:pStyle w:val="BodyText"/>
      </w:pPr>
      <w:r>
        <w:t xml:space="preserve">Multilingual patient portal with GDPR-compliant data security.</w:t>
      </w:r>
    </w:p>
    <w:p>
      <w:pPr>
        <w:pStyle w:val="BodyText"/>
      </w:pPr>
      <w:r>
        <w:t xml:space="preserve">Professional Partnerships</w:t>
      </w:r>
    </w:p>
    <w:p>
      <w:pPr>
        <w:pStyle w:val="BodyText"/>
      </w:pPr>
      <w:r>
        <w:t xml:space="preserve">€24,000 (16%)</w:t>
      </w:r>
    </w:p>
    <w:p>
      <w:pPr>
        <w:pStyle w:val="BodyText"/>
      </w:pPr>
      <w:r>
        <w:t xml:space="preserve">Gross margin for GP referral program and medical society sponsorships.</w:t>
      </w:r>
    </w:p>
    <w:p>
      <w:pPr>
        <w:pStyle w:val="BodyText"/>
      </w:pPr>
      <w:r>
        <w:t xml:space="preserve">Evaluation Tools</w:t>
      </w:r>
    </w:p>
    <w:bookmarkEnd w:id="28"/>
    <w:bookmarkStart w:id="29" w:name="implementation-timeline-berlin-specific"/>
    <w:p>
      <w:pPr>
        <w:pStyle w:val="Heading2"/>
      </w:pPr>
      <w:r>
        <w:t xml:space="preserve">Implementation Timeline (Berlin-Specific)</w:t>
      </w:r>
    </w:p>
    <w:p>
      <w:pPr>
        <w:numPr>
          <w:ilvl w:val="0"/>
          <w:numId w:val="1007"/>
        </w:numPr>
        <w:pStyle w:val="Compact"/>
      </w:pPr>
      <w:r>
        <w:rPr>
          <w:bCs/>
          <w:b/>
        </w:rPr>
        <w:t xml:space="preserve">Months 1-3:</w:t>
      </w:r>
      <w:r>
        <w:t xml:space="preserve"> </w:t>
      </w:r>
      <w:r>
        <w:t xml:space="preserve">Establish physical practice at Friedrichstraße, launch multilingual digital platform, secure Berlin health insurance contracts.</w:t>
      </w:r>
    </w:p>
    <w:p>
      <w:pPr>
        <w:numPr>
          <w:ilvl w:val="0"/>
          <w:numId w:val="1007"/>
        </w:numPr>
        <w:pStyle w:val="Compact"/>
      </w:pPr>
      <w:r>
        <w:rPr>
          <w:bCs/>
          <w:b/>
        </w:rPr>
        <w:t xml:space="preserve">Months 4-6:</w:t>
      </w:r>
      <w:r>
        <w:t xml:space="preserve"> </w:t>
      </w:r>
      <w:r>
        <w:t xml:space="preserve">Deploy community screening events in 5 Berlin districts (e.g., Neukölln, Prenzlauer Berg), initiate GP referral program.</w:t>
      </w:r>
    </w:p>
    <w:p>
      <w:pPr>
        <w:numPr>
          <w:ilvl w:val="0"/>
          <w:numId w:val="1007"/>
        </w:numPr>
        <w:pStyle w:val="Compact"/>
      </w:pPr>
      <w:r>
        <w:rPr>
          <w:bCs/>
          <w:b/>
        </w:rPr>
        <w:t xml:space="preserve">Months 7-9:</w:t>
      </w:r>
      <w:r>
        <w:t xml:space="preserve"> </w:t>
      </w:r>
      <w:r>
        <w:t xml:space="preserve">Scale digital campaigns targeting Berlin's expat communities via LinkedIn and Facebook groups; publish local research findings.</w:t>
      </w:r>
    </w:p>
    <w:p>
      <w:pPr>
        <w:numPr>
          <w:ilvl w:val="0"/>
          <w:numId w:val="1007"/>
        </w:numPr>
        <w:pStyle w:val="Compact"/>
      </w:pPr>
      <w:r>
        <w:rPr>
          <w:bCs/>
          <w:b/>
        </w:rPr>
        <w:t xml:space="preserve">Months 10-12:</w:t>
      </w:r>
      <w:r>
        <w:t xml:space="preserve"> </w:t>
      </w:r>
      <w:r>
        <w:t xml:space="preserve">Achieve 150 new patients, refine strategies based on Berlin-specific patient feedback surveys.</w:t>
      </w:r>
    </w:p>
    <w:bookmarkEnd w:id="29"/>
    <w:bookmarkStart w:id="30" w:name="evaluation-metrics"/>
    <w:p>
      <w:pPr>
        <w:pStyle w:val="Heading2"/>
      </w:pPr>
      <w:r>
        <w:t xml:space="preserve">Evaluation Metrics</w:t>
      </w:r>
    </w:p>
    <w:p>
      <w:pPr>
        <w:pStyle w:val="FirstParagraph"/>
      </w:pPr>
      <w:r>
        <w:t xml:space="preserve">We track success through Germany-compliant KPIs:</w:t>
      </w:r>
    </w:p>
    <w:p>
      <w:pPr>
        <w:numPr>
          <w:ilvl w:val="0"/>
          <w:numId w:val="1008"/>
        </w:numPr>
        <w:pStyle w:val="Compact"/>
      </w:pPr>
      <w:r>
        <w:t xml:space="preserve">Patient acquisition cost (PAC) per Berlin district (Target: €450)</w:t>
      </w:r>
    </w:p>
    <w:p>
      <w:pPr>
        <w:numPr>
          <w:ilvl w:val="0"/>
          <w:numId w:val="1008"/>
        </w:numPr>
        <w:pStyle w:val="Compact"/>
      </w:pPr>
      <w:r>
        <w:t xml:space="preserve">Net Promoter Score (NPS) from German patients (Target: 72+)</w:t>
      </w:r>
    </w:p>
    <w:p>
      <w:pPr>
        <w:numPr>
          <w:ilvl w:val="0"/>
          <w:numId w:val="1008"/>
        </w:numPr>
        <w:pStyle w:val="Compact"/>
      </w:pPr>
      <w:r>
        <w:t xml:space="preserve">Repeat patient rate for chronic conditions in Berlin (&gt;65% by Year 1)</w:t>
      </w:r>
    </w:p>
    <w:p>
      <w:pPr>
        <w:numPr>
          <w:ilvl w:val="0"/>
          <w:numId w:val="1008"/>
        </w:numPr>
        <w:pStyle w:val="Compact"/>
      </w:pPr>
      <w:r>
        <w:t xml:space="preserve">Digital engagement rate from Berlin traffic sources (Target: 22%)</w:t>
      </w:r>
    </w:p>
    <w:bookmarkEnd w:id="30"/>
    <w:bookmarkStart w:id="31" w:name="conclusion"/>
    <w:p>
      <w:pPr>
        <w:pStyle w:val="Heading2"/>
      </w:pPr>
      <w:r>
        <w:t xml:space="preserve">Conclusion</w:t>
      </w:r>
    </w:p>
    <w:p>
      <w:pPr>
        <w:pStyle w:val="FirstParagraph"/>
      </w:pPr>
      <w:r>
        <w:t xml:space="preserve">This Marketing Plan delivers a sustainable growth framework uniquely calibrated for the Ophthalmologist's practice in Germany Berlin. By addressing Berlin-specific healthcare gaps – including language barriers, urgent care access, and aging demographics – while adhering strictly to German healthcare regulations, this plan positions our Ophthalmologist as the indispensable eye health partner for Berlin residents. The integration of digital innovation with community-centric service design ensures we not only meet but exceed expectations in Germany's competitive ophthalmology landscape. Continuous adaptation through quarterly Berlin market reviews will keep this Marketing Plan agile and effective for long-term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Germany Berlin</dc:title>
  <dc:creator/>
  <dc:language>en</dc:language>
  <cp:keywords/>
  <dcterms:created xsi:type="dcterms:W3CDTF">2026-07-23T02:44:41Z</dcterms:created>
  <dcterms:modified xsi:type="dcterms:W3CDTF">2026-07-23T02:44:41Z</dcterms:modified>
</cp:coreProperties>
</file>

<file path=docProps/custom.xml><?xml version="1.0" encoding="utf-8"?>
<Properties xmlns="http://schemas.openxmlformats.org/officeDocument/2006/custom-properties" xmlns:vt="http://schemas.openxmlformats.org/officeDocument/2006/docPropsVTypes"/>
</file>