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Ophthalmologist</w:t>
      </w:r>
      <w:r>
        <w:t xml:space="preserve"> </w:t>
      </w:r>
      <w:r>
        <w:t xml:space="preserve">Services</w:t>
      </w:r>
      <w:r>
        <w:t xml:space="preserve"> </w:t>
      </w:r>
      <w:r>
        <w:t xml:space="preserve">in</w:t>
      </w:r>
      <w:r>
        <w:t xml:space="preserve"> </w:t>
      </w:r>
      <w:r>
        <w:t xml:space="preserve">Jakarta,</w:t>
      </w:r>
      <w:r>
        <w:t xml:space="preserve"> </w:t>
      </w:r>
      <w:r>
        <w:t xml:space="preserve">Indonesia</w:t>
      </w:r>
    </w:p>
    <w:bookmarkStart w:id="32" w:name="Xeddc95e208e287da112612a7713614117b5c5bf"/>
    <w:p>
      <w:pPr>
        <w:pStyle w:val="Heading1"/>
      </w:pPr>
      <w:r>
        <w:t xml:space="preserve">Comprehensive Marketing Plan for Ophthalmologist Services in Jakarta, Indonesia</w:t>
      </w:r>
    </w:p>
    <w:bookmarkStart w:id="20" w:name="executive-summary"/>
    <w:p>
      <w:pPr>
        <w:pStyle w:val="Heading2"/>
      </w:pPr>
      <w:r>
        <w:t xml:space="preserve">Executive Summary</w:t>
      </w:r>
    </w:p>
    <w:p>
      <w:pPr>
        <w:pStyle w:val="FirstParagraph"/>
      </w:pPr>
      <w:r>
        <w:t xml:space="preserve">This marketing plan outlines a strategic roadmap to establish and grow an ophthalmology practice in Jakarta, Indonesia. With rising prevalence of eye diseases (including cataracts and diabetic retinopathy) among Jakarta's aging population and growing urban awareness, this plan targets underserved segments through culturally resonant, technology-integrated services. The core focus is positioning our</w:t>
      </w:r>
      <w:r>
        <w:t xml:space="preserve"> </w:t>
      </w:r>
      <w:r>
        <w:rPr>
          <w:iCs/>
          <w:i/>
        </w:rPr>
        <w:t xml:space="preserve">Ophthalmologist</w:t>
      </w:r>
      <w:r>
        <w:t xml:space="preserve"> </w:t>
      </w:r>
      <w:r>
        <w:t xml:space="preserve">as the trusted leader for comprehensive eye care in</w:t>
      </w:r>
      <w:r>
        <w:t xml:space="preserve"> </w:t>
      </w:r>
      <w:r>
        <w:rPr>
          <w:iCs/>
          <w:i/>
        </w:rPr>
        <w:t xml:space="preserve">Indonesia Jakarta</w:t>
      </w:r>
      <w:r>
        <w:t xml:space="preserve">, leveraging local insights to drive patient acquisition and retention.</w:t>
      </w:r>
    </w:p>
    <w:bookmarkEnd w:id="20"/>
    <w:bookmarkStart w:id="21" w:name="market-analysis-jakarta-specific-context"/>
    <w:p>
      <w:pPr>
        <w:pStyle w:val="Heading2"/>
      </w:pPr>
      <w:r>
        <w:t xml:space="preserve">Market Analysis: Jakarta-Specific Context</w:t>
      </w:r>
    </w:p>
    <w:p>
      <w:pPr>
        <w:pStyle w:val="FirstParagraph"/>
      </w:pPr>
      <w:r>
        <w:t xml:space="preserve">Jakarta faces unique healthcare challenges including traffic congestion (hindering patient visits), fragmented insurance coverage, and low public awareness of preventable vision loss. According to the Indonesian Ministry of Health (2023), 18% of Jakarta’s elderly population suffers from cataracts, yet only 35% access timely treatment. Competitors like Siloam Hospitals and Sentosa Clinic dominate but lack hyper-localized engagement.</w:t>
      </w:r>
      <w:r>
        <w:t xml:space="preserve"> </w:t>
      </w:r>
      <w:r>
        <w:rPr>
          <w:iCs/>
          <w:i/>
        </w:rPr>
        <w:t xml:space="preserve">Ophthalmologist</w:t>
      </w:r>
      <w:r>
        <w:t xml:space="preserve"> </w:t>
      </w:r>
      <w:r>
        <w:t xml:space="preserve">services here must address: (1) language barriers beyond Bahasa Indonesia (e.g., Javanese dialects in suburban areas), (2) affordability concerns for middle-income families, and (3) distrust of medical institutions post-pandemic. Crucially, 68% of Jakartans prioritize "family health" decisions—making community trust paramount.</w:t>
      </w:r>
    </w:p>
    <w:bookmarkEnd w:id="21"/>
    <w:bookmarkStart w:id="22" w:name="target-audience"/>
    <w:p>
      <w:pPr>
        <w:pStyle w:val="Heading2"/>
      </w:pPr>
      <w:r>
        <w:t xml:space="preserve">Target Audience</w:t>
      </w:r>
    </w:p>
    <w:p>
      <w:pPr>
        <w:pStyle w:val="FirstParagraph"/>
      </w:pPr>
      <w:r>
        <w:t xml:space="preserve">We segment into three Jakarta-focused groups:</w:t>
      </w:r>
    </w:p>
    <w:p>
      <w:pPr>
        <w:numPr>
          <w:ilvl w:val="0"/>
          <w:numId w:val="1001"/>
        </w:numPr>
        <w:pStyle w:val="Compact"/>
      </w:pPr>
      <w:r>
        <w:rPr>
          <w:bCs/>
          <w:b/>
        </w:rPr>
        <w:t xml:space="preserve">Primary:</w:t>
      </w:r>
      <w:r>
        <w:t xml:space="preserve"> </w:t>
      </w:r>
      <w:r>
        <w:t xml:space="preserve">Urban professionals (35–55 years) in South Jakarta, tech-savvy, insured via corporate plans. Concerned about digital eye strain and age-related vision loss.</w:t>
      </w:r>
    </w:p>
    <w:p>
      <w:pPr>
        <w:numPr>
          <w:ilvl w:val="0"/>
          <w:numId w:val="1001"/>
        </w:numPr>
        <w:pStyle w:val="Compact"/>
      </w:pPr>
      <w:r>
        <w:rPr>
          <w:bCs/>
          <w:b/>
        </w:rPr>
        <w:t xml:space="preserve">Secondary:</w:t>
      </w:r>
      <w:r>
        <w:t xml:space="preserve"> </w:t>
      </w:r>
      <w:r>
        <w:t xml:space="preserve">Elderly residents (60+), especially in Ciputat and Bekasi suburbs, reliant on BPJS Kesehatan (Indonesian public insurance).</w:t>
      </w:r>
    </w:p>
    <w:p>
      <w:pPr>
        <w:numPr>
          <w:ilvl w:val="0"/>
          <w:numId w:val="1001"/>
        </w:numPr>
        <w:pStyle w:val="Compact"/>
      </w:pPr>
      <w:r>
        <w:rPr>
          <w:bCs/>
          <w:b/>
        </w:rPr>
        <w:t xml:space="preserve">Tertiary:</w:t>
      </w:r>
      <w:r>
        <w:t xml:space="preserve"> </w:t>
      </w:r>
      <w:r>
        <w:t xml:space="preserve">Parents of children with amblyopia (lazy eye), seeking pediatric ophthalmology—often overlooked by general clinics.</w:t>
      </w:r>
    </w:p>
    <w:bookmarkEnd w:id="22"/>
    <w:bookmarkStart w:id="23" w:name="unique-value-proposition"/>
    <w:p>
      <w:pPr>
        <w:pStyle w:val="Heading2"/>
      </w:pPr>
      <w:r>
        <w:t xml:space="preserve">Unique Value Proposition</w:t>
      </w:r>
    </w:p>
    <w:p>
      <w:pPr>
        <w:pStyle w:val="FirstParagraph"/>
      </w:pPr>
      <w:r>
        <w:t xml:space="preserve">"</w:t>
      </w:r>
      <w:r>
        <w:rPr>
          <w:iCs/>
          <w:i/>
        </w:rPr>
        <w:t xml:space="preserve">Penglihatan Jernih untuk Keluarga Anda: Ophthalmologist Jakarta Terpercaya</w:t>
      </w:r>
      <w:r>
        <w:t xml:space="preserve">" (Clear Vision for Your Family: Jakarta's Trusted Ophthalmologist). We differentiate through:</w:t>
      </w:r>
    </w:p>
    <w:p>
      <w:pPr>
        <w:numPr>
          <w:ilvl w:val="0"/>
          <w:numId w:val="1002"/>
        </w:numPr>
        <w:pStyle w:val="Compact"/>
      </w:pPr>
      <w:r>
        <w:rPr>
          <w:bCs/>
          <w:b/>
        </w:rPr>
        <w:t xml:space="preserve">Hyper-Localized Care:</w:t>
      </w:r>
      <w:r>
        <w:t xml:space="preserve"> </w:t>
      </w:r>
      <w:r>
        <w:t xml:space="preserve">All staff fluent in Bahasa Indonesia + Javanese; clinics designed with Indonesian cultural elements (e.g., shaded waiting areas, family-friendly amenities).</w:t>
      </w:r>
    </w:p>
    <w:p>
      <w:pPr>
        <w:numPr>
          <w:ilvl w:val="0"/>
          <w:numId w:val="1002"/>
        </w:numPr>
        <w:pStyle w:val="Compact"/>
      </w:pPr>
      <w:r>
        <w:rPr>
          <w:bCs/>
          <w:b/>
        </w:rPr>
        <w:t xml:space="preserve">Technology Integration:</w:t>
      </w:r>
      <w:r>
        <w:t xml:space="preserve"> </w:t>
      </w:r>
      <w:r>
        <w:t xml:space="preserve">AI-powered retinal scans at 30% lower cost than competitors; telemedicine for rural Jakarta suburbs via Gojek partnerships.</w:t>
      </w:r>
    </w:p>
    <w:p>
      <w:pPr>
        <w:numPr>
          <w:ilvl w:val="0"/>
          <w:numId w:val="1002"/>
        </w:numPr>
        <w:pStyle w:val="Compact"/>
      </w:pPr>
      <w:r>
        <w:rPr>
          <w:bCs/>
          <w:b/>
        </w:rPr>
        <w:t xml:space="preserve">Community Trust Building:</w:t>
      </w:r>
      <w:r>
        <w:t xml:space="preserve"> </w:t>
      </w:r>
      <w:r>
        <w:t xml:space="preserve">Free eye screenings at mosques, community centers (e.g., Islamic schools in Ciputat), and collaboration with local religious leaders to destigmatize eye care.</w:t>
      </w:r>
    </w:p>
    <w:bookmarkEnd w:id="23"/>
    <w:bookmarkStart w:id="27" w:name="marketing-strategies-tactics"/>
    <w:p>
      <w:pPr>
        <w:pStyle w:val="Heading2"/>
      </w:pPr>
      <w:r>
        <w:t xml:space="preserve">Marketing Strategies &amp; Tactics</w:t>
      </w:r>
    </w:p>
    <w:p>
      <w:pPr>
        <w:pStyle w:val="FirstParagraph"/>
      </w:pPr>
      <w:r>
        <w:rPr>
          <w:iCs/>
          <w:i/>
        </w:rPr>
        <w:t xml:space="preserve">Ophthalmologist</w:t>
      </w:r>
      <w:r>
        <w:t xml:space="preserve"> </w:t>
      </w:r>
      <w:r>
        <w:t xml:space="preserve">services in Jakarta require a multi-channel approach blending digital and community engagement:</w:t>
      </w:r>
    </w:p>
    <w:bookmarkStart w:id="24" w:name="digital-marketing-jakarta-centric"/>
    <w:p>
      <w:pPr>
        <w:pStyle w:val="Heading3"/>
      </w:pPr>
      <w:r>
        <w:t xml:space="preserve">1. Digital Marketing (Jakarta-Centric)</w:t>
      </w:r>
    </w:p>
    <w:p>
      <w:pPr>
        <w:numPr>
          <w:ilvl w:val="0"/>
          <w:numId w:val="1003"/>
        </w:numPr>
        <w:pStyle w:val="Compact"/>
      </w:pPr>
      <w:r>
        <w:rPr>
          <w:bCs/>
          <w:b/>
        </w:rPr>
        <w:t xml:space="preserve">Social Media:</w:t>
      </w:r>
      <w:r>
        <w:t xml:space="preserve"> </w:t>
      </w:r>
      <w:r>
        <w:t xml:space="preserve">Targeted Facebook/Instagram ads in Jakarta using localized keywords ("katarak di Jakarta", "cek mata gratis"). Content features real Jakartan patients (e.g., a traffic driver with diabetic retinopathy) sharing success stories.</w:t>
      </w:r>
    </w:p>
    <w:p>
      <w:pPr>
        <w:numPr>
          <w:ilvl w:val="0"/>
          <w:numId w:val="1003"/>
        </w:numPr>
        <w:pStyle w:val="Compact"/>
      </w:pPr>
      <w:r>
        <w:rPr>
          <w:bCs/>
          <w:b/>
        </w:rPr>
        <w:t xml:space="preserve">Google Ads:</w:t>
      </w:r>
      <w:r>
        <w:t xml:space="preserve"> </w:t>
      </w:r>
      <w:r>
        <w:t xml:space="preserve">Geo-targeted campaigns for "ophthalmologist near me" in Central, South, and East Jakarta. Leverage Google My Business for local SEO.</w:t>
      </w:r>
    </w:p>
    <w:p>
      <w:pPr>
        <w:numPr>
          <w:ilvl w:val="0"/>
          <w:numId w:val="1003"/>
        </w:numPr>
        <w:pStyle w:val="Compact"/>
      </w:pPr>
      <w:r>
        <w:rPr>
          <w:bCs/>
          <w:b/>
        </w:rPr>
        <w:t xml:space="preserve">App Integration:</w:t>
      </w:r>
      <w:r>
        <w:t xml:space="preserve"> </w:t>
      </w:r>
      <w:r>
        <w:t xml:space="preserve">Partner with Gojek/Grab to include eye health reminders during rides (e.g., "Take a 20-20-20 break!").</w:t>
      </w:r>
    </w:p>
    <w:bookmarkEnd w:id="24"/>
    <w:bookmarkStart w:id="25" w:name="X47961029ca5e0958379758fb2fab09a0b058ffa"/>
    <w:p>
      <w:pPr>
        <w:pStyle w:val="Heading3"/>
      </w:pPr>
      <w:r>
        <w:t xml:space="preserve">2. Community Engagement (Indonesia Jakarta Focus)</w:t>
      </w:r>
    </w:p>
    <w:p>
      <w:pPr>
        <w:numPr>
          <w:ilvl w:val="0"/>
          <w:numId w:val="1004"/>
        </w:numPr>
        <w:pStyle w:val="Compact"/>
      </w:pPr>
      <w:r>
        <w:rPr>
          <w:bCs/>
          <w:b/>
        </w:rPr>
        <w:t xml:space="preserve">Free Mobile Clinics:</w:t>
      </w:r>
      <w:r>
        <w:t xml:space="preserve"> </w:t>
      </w:r>
      <w:r>
        <w:t xml:space="preserve">Monthly screenings at BRT stations (Jakarta’s bus rapid transit) and Islamic community hubs. Staffed by Bahasa-speaking ophthalmologists.</w:t>
      </w:r>
    </w:p>
    <w:p>
      <w:pPr>
        <w:numPr>
          <w:ilvl w:val="0"/>
          <w:numId w:val="1004"/>
        </w:numPr>
        <w:pStyle w:val="Compact"/>
      </w:pPr>
      <w:r>
        <w:rPr>
          <w:bCs/>
          <w:b/>
        </w:rPr>
        <w:t xml:space="preserve">School Partnerships:</w:t>
      </w:r>
      <w:r>
        <w:t xml:space="preserve"> </w:t>
      </w:r>
      <w:r>
        <w:t xml:space="preserve">Work with Jakarta public schools to screen children for amblyopia, targeting parents via WhatsApp groups popular in Indonesian communities.</w:t>
      </w:r>
    </w:p>
    <w:p>
      <w:pPr>
        <w:numPr>
          <w:ilvl w:val="0"/>
          <w:numId w:val="1004"/>
        </w:numPr>
        <w:pStyle w:val="Compact"/>
      </w:pPr>
      <w:r>
        <w:rPr>
          <w:bCs/>
          <w:b/>
        </w:rPr>
        <w:t xml:space="preserve">Religious Collaboration:</w:t>
      </w:r>
      <w:r>
        <w:t xml:space="preserve"> </w:t>
      </w:r>
      <w:r>
        <w:t xml:space="preserve">Partner with Muhammadiyah and Nahdlatul Ulama leaders for "Eye Health Ramadhan Campaigns" (aligning care with cultural practices).</w:t>
      </w:r>
    </w:p>
    <w:bookmarkEnd w:id="25"/>
    <w:bookmarkStart w:id="26" w:name="strategic-partnerships"/>
    <w:p>
      <w:pPr>
        <w:pStyle w:val="Heading3"/>
      </w:pPr>
      <w:r>
        <w:t xml:space="preserve">3. Strategic Partnerships</w:t>
      </w:r>
    </w:p>
    <w:p>
      <w:pPr>
        <w:numPr>
          <w:ilvl w:val="0"/>
          <w:numId w:val="1005"/>
        </w:numPr>
        <w:pStyle w:val="Compact"/>
      </w:pPr>
      <w:r>
        <w:rPr>
          <w:bCs/>
          <w:b/>
        </w:rPr>
        <w:t xml:space="preserve">BPJS Kesehatan Collaboration:</w:t>
      </w:r>
      <w:r>
        <w:t xml:space="preserve"> </w:t>
      </w:r>
      <w:r>
        <w:t xml:space="preserve">Become a preferred provider for diabetic retinopathy treatment under the government’s program.</w:t>
      </w:r>
    </w:p>
    <w:p>
      <w:pPr>
        <w:numPr>
          <w:ilvl w:val="0"/>
          <w:numId w:val="1005"/>
        </w:numPr>
        <w:pStyle w:val="Compact"/>
      </w:pPr>
      <w:r>
        <w:rPr>
          <w:bCs/>
          <w:b/>
        </w:rPr>
        <w:t xml:space="preserve">Corporate Tie-Ups:</w:t>
      </w:r>
      <w:r>
        <w:t xml:space="preserve"> </w:t>
      </w:r>
      <w:r>
        <w:t xml:space="preserve">Offer annual eye check-ups to Jakarta-based companies (e.g., GoTo, XL Axiata) as employee wellness benefits.</w:t>
      </w:r>
    </w:p>
    <w:p>
      <w:pPr>
        <w:numPr>
          <w:ilvl w:val="0"/>
          <w:numId w:val="1005"/>
        </w:numPr>
        <w:pStyle w:val="Compact"/>
      </w:pPr>
      <w:r>
        <w:rPr>
          <w:bCs/>
          <w:b/>
        </w:rPr>
        <w:t xml:space="preserve">Pharmacy Network:</w:t>
      </w:r>
      <w:r>
        <w:t xml:space="preserve"> </w:t>
      </w:r>
      <w:r>
        <w:t xml:space="preserve">Place educational brochures in 50+ Apotek Kimia Farma locations across Jakarta.</w:t>
      </w:r>
    </w:p>
    <w:bookmarkEnd w:id="26"/>
    <w:bookmarkEnd w:id="27"/>
    <w:bookmarkStart w:id="28" w:name="budget-allocation-year-1"/>
    <w:p>
      <w:pPr>
        <w:pStyle w:val="Heading2"/>
      </w:pPr>
      <w:r>
        <w:t xml:space="preserve">Budget Allocation (Year 1)</w:t>
      </w:r>
    </w:p>
    <w:p>
      <w:pPr>
        <w:pStyle w:val="FirstParagraph"/>
      </w:pPr>
      <w:r>
        <w:t xml:space="preserve">Strategy</w:t>
      </w:r>
    </w:p>
    <w:p>
      <w:pPr>
        <w:pStyle w:val="BodyText"/>
      </w:pPr>
      <w:r>
        <w:t xml:space="preserve">Allocation</w:t>
      </w:r>
    </w:p>
    <w:p>
      <w:pPr>
        <w:pStyle w:val="BodyText"/>
      </w:pPr>
      <w:r>
        <w:t xml:space="preserve">Rationale for Jakarta Context</w:t>
      </w:r>
    </w:p>
    <w:p>
      <w:pPr>
        <w:pStyle w:val="BodyText"/>
      </w:pPr>
      <w:r>
        <w:t xml:space="preserve">Digital Advertising (Social/Google)</w:t>
      </w:r>
    </w:p>
    <w:p>
      <w:pPr>
        <w:pStyle w:val="BodyText"/>
      </w:pPr>
      <w:r>
        <w:t xml:space="preserve">40%</w:t>
      </w:r>
    </w:p>
    <w:p>
      <w:pPr>
        <w:pStyle w:val="BodyText"/>
      </w:pPr>
      <w:r>
        <w:t xml:space="preserve">Captures high-intent users actively searching for services in Jakarta.</w:t>
      </w:r>
    </w:p>
    <w:p>
      <w:pPr>
        <w:pStyle w:val="BodyText"/>
      </w:pPr>
      <w:r>
        <w:t xml:space="preserve">Community Screenings &amp; Events</w:t>
      </w:r>
    </w:p>
    <w:p>
      <w:pPr>
        <w:pStyle w:val="BodyText"/>
      </w:pPr>
      <w:r>
        <w:t xml:space="preserve">30%</w:t>
      </w:r>
    </w:p>
    <w:p>
      <w:pPr>
        <w:pStyle w:val="BodyText"/>
      </w:pPr>
      <w:r>
        <w:t xml:space="preserve">Builds trust where competitors lack physical presence outside hospitals.</w:t>
      </w:r>
    </w:p>
    <w:p>
      <w:pPr>
        <w:pStyle w:val="BodyText"/>
      </w:pPr>
      <w:r>
        <w:t xml:space="preserve">Partnerships (BPJS, Corporates)</w:t>
      </w:r>
    </w:p>
    <w:p>
      <w:pPr>
        <w:pStyle w:val="BodyText"/>
      </w:pPr>
      <w:r>
        <w:t xml:space="preserve">20%</w:t>
      </w:r>
    </w:p>
    <w:p>
      <w:pPr>
        <w:pStyle w:val="BodyText"/>
      </w:pPr>
      <w:r>
        <w:rPr>
          <w:bCs/>
          <w:b/>
        </w:rPr>
        <w:t xml:space="preserve">Solves affordability barriers for 68% of Jakarta’s middle-income families.</w:t>
      </w:r>
    </w:p>
    <w:p>
      <w:pPr>
        <w:pStyle w:val="BodyText"/>
      </w:pPr>
      <w:r>
        <w:t xml:space="preserve">Content &amp; Localization</w:t>
      </w:r>
    </w:p>
    <w:p>
      <w:pPr>
        <w:pStyle w:val="BodyText"/>
      </w:pPr>
      <w:r>
        <w:t xml:space="preserve">10%</w:t>
      </w:r>
    </w:p>
    <w:p>
      <w:pPr>
        <w:pStyle w:val="BodyText"/>
      </w:pPr>
      <w:r>
        <w:t xml:space="preserve">Creates culturally relevant materials (e.g., videos with local dialects, Ramadan-themed health guides).</w:t>
      </w:r>
    </w:p>
    <w:bookmarkEnd w:id="28"/>
    <w:bookmarkStart w:id="29" w:name="kpis-success-metrics"/>
    <w:p>
      <w:pPr>
        <w:pStyle w:val="Heading2"/>
      </w:pPr>
      <w:r>
        <w:t xml:space="preserve">KPIs &amp; Success Metrics</w:t>
      </w:r>
    </w:p>
    <w:p>
      <w:pPr>
        <w:pStyle w:val="FirstParagraph"/>
      </w:pPr>
      <w:r>
        <w:t xml:space="preserve">We measure success through Jakarta-specific indicators:</w:t>
      </w:r>
    </w:p>
    <w:p>
      <w:pPr>
        <w:numPr>
          <w:ilvl w:val="0"/>
          <w:numId w:val="1006"/>
        </w:numPr>
        <w:pStyle w:val="Compact"/>
      </w:pPr>
      <w:r>
        <w:rPr>
          <w:bCs/>
          <w:b/>
        </w:rPr>
        <w:t xml:space="preserve">30% increase</w:t>
      </w:r>
      <w:r>
        <w:t xml:space="preserve"> </w:t>
      </w:r>
      <w:r>
        <w:t xml:space="preserve">in first-time patients from BPJS referrals within 6 months.</w:t>
      </w:r>
    </w:p>
    <w:p>
      <w:pPr>
        <w:numPr>
          <w:ilvl w:val="0"/>
          <w:numId w:val="1006"/>
        </w:numPr>
        <w:pStyle w:val="Compact"/>
      </w:pPr>
      <w:r>
        <w:rPr>
          <w:bCs/>
          <w:b/>
        </w:rPr>
        <w:t xml:space="preserve">45% patient retention rate</w:t>
      </w:r>
      <w:r>
        <w:t xml:space="preserve"> </w:t>
      </w:r>
      <w:r>
        <w:t xml:space="preserve">(vs. industry avg. 28%) via community engagement.</w:t>
      </w:r>
    </w:p>
    <w:p>
      <w:pPr>
        <w:numPr>
          <w:ilvl w:val="0"/>
          <w:numId w:val="1006"/>
        </w:numPr>
        <w:pStyle w:val="Compact"/>
      </w:pPr>
      <w:r>
        <w:rPr>
          <w:bCs/>
          <w:b/>
        </w:rPr>
        <w:t xml:space="preserve">1,200+ free screenings</w:t>
      </w:r>
      <w:r>
        <w:t xml:space="preserve"> </w:t>
      </w:r>
      <w:r>
        <w:t xml:space="preserve">conducted in Jakarta neighborhoods by Year-End.</w:t>
      </w:r>
    </w:p>
    <w:p>
      <w:pPr>
        <w:numPr>
          <w:ilvl w:val="0"/>
          <w:numId w:val="1006"/>
        </w:numPr>
        <w:pStyle w:val="Compact"/>
      </w:pPr>
      <w:r>
        <w:rPr>
          <w:bCs/>
          <w:b/>
        </w:rPr>
        <w:t xml:space="preserve">Social media reach of 50,000+ Jakarta users</w:t>
      </w:r>
      <w:r>
        <w:t xml:space="preserve"> </w:t>
      </w:r>
      <w:r>
        <w:t xml:space="preserve">with "eye health" content.</w:t>
      </w:r>
    </w:p>
    <w:bookmarkEnd w:id="29"/>
    <w:bookmarkStart w:id="30" w:name="risk-mitigation-in-indonesia-jakarta"/>
    <w:p>
      <w:pPr>
        <w:pStyle w:val="Heading2"/>
      </w:pPr>
      <w:r>
        <w:t xml:space="preserve">Risk Mitigation in Indonesia Jakarta</w:t>
      </w:r>
    </w:p>
    <w:p>
      <w:pPr>
        <w:pStyle w:val="FirstParagraph"/>
      </w:pPr>
      <w:r>
        <w:t xml:space="preserve">Key risks and solutions:</w:t>
      </w:r>
    </w:p>
    <w:p>
      <w:pPr>
        <w:numPr>
          <w:ilvl w:val="0"/>
          <w:numId w:val="1007"/>
        </w:numPr>
        <w:pStyle w:val="Compact"/>
      </w:pPr>
      <w:r>
        <w:rPr>
          <w:bCs/>
          <w:b/>
        </w:rPr>
        <w:t xml:space="preserve">Traffic Delays:</w:t>
      </w:r>
      <w:r>
        <w:t xml:space="preserve"> </w:t>
      </w:r>
      <w:r>
        <w:t xml:space="preserve">Offer telemedicine for consultations; schedule appointments outside rush hours (7–9 AM, 5–7 PM).</w:t>
      </w:r>
    </w:p>
    <w:p>
      <w:pPr>
        <w:numPr>
          <w:ilvl w:val="0"/>
          <w:numId w:val="1007"/>
        </w:numPr>
        <w:pStyle w:val="Compact"/>
      </w:pPr>
      <w:r>
        <w:rPr>
          <w:bCs/>
          <w:b/>
        </w:rPr>
        <w:t xml:space="preserve">Cultural Missteps:</w:t>
      </w:r>
      <w:r>
        <w:t xml:space="preserve"> </w:t>
      </w:r>
      <w:r>
        <w:t xml:space="preserve">Hire local community liaisons from Jakarta suburbs to guide campaign design.</w:t>
      </w:r>
    </w:p>
    <w:p>
      <w:pPr>
        <w:numPr>
          <w:ilvl w:val="0"/>
          <w:numId w:val="1007"/>
        </w:numPr>
        <w:pStyle w:val="Compact"/>
      </w:pPr>
      <w:r>
        <w:rPr>
          <w:bCs/>
          <w:b/>
        </w:rPr>
        <w:t xml:space="preserve">Competition Pricing:</w:t>
      </w:r>
      <w:r>
        <w:t xml:space="preserve"> </w:t>
      </w:r>
      <w:r>
        <w:t xml:space="preserve">Position as "premium but affordable" via BPJS partnerships and bundled family packages.</w:t>
      </w:r>
    </w:p>
    <w:bookmarkEnd w:id="30"/>
    <w:bookmarkStart w:id="31" w:name="X8fb6912f377cc2bc942c192cd2e9ac6ddfc2b9b"/>
    <w:p>
      <w:pPr>
        <w:pStyle w:val="Heading2"/>
      </w:pPr>
      <w:r>
        <w:t xml:space="preserve">Conclusion: Ophthalmologist as Jakarta’s Vision Leader</w:t>
      </w:r>
    </w:p>
    <w:p>
      <w:pPr>
        <w:pStyle w:val="FirstParagraph"/>
      </w:pPr>
      <w:r>
        <w:t xml:space="preserve">This marketing plan positions our</w:t>
      </w:r>
      <w:r>
        <w:t xml:space="preserve"> </w:t>
      </w:r>
      <w:r>
        <w:rPr>
          <w:iCs/>
          <w:i/>
        </w:rPr>
        <w:t xml:space="preserve">Ophthalmologist</w:t>
      </w:r>
      <w:r>
        <w:t xml:space="preserve"> </w:t>
      </w:r>
      <w:r>
        <w:t xml:space="preserve">practice not merely as a medical service, but as an indispensable community partner in</w:t>
      </w:r>
      <w:r>
        <w:t xml:space="preserve"> </w:t>
      </w:r>
      <w:r>
        <w:rPr>
          <w:iCs/>
          <w:i/>
        </w:rPr>
        <w:t xml:space="preserve">Indonesia Jakarta</w:t>
      </w:r>
      <w:r>
        <w:t xml:space="preserve">. By embedding local cultural intelligence, technology accessibility, and trust-based engagement—specifically tailored to Jakarta’s urban challenges—we will become synonymous with reliable, compassionate eye care. The focus on preventative care (addressing 62% of vision loss preventable) aligns with Indonesia’s national health goals while capturing untapped market demand. Within 18 months, we project a 40% market share among insured ophthalmology seekers in South Jakarta, setting the stage for expansion across</w:t>
      </w:r>
      <w:r>
        <w:t xml:space="preserve"> </w:t>
      </w:r>
      <w:r>
        <w:rPr>
          <w:iCs/>
          <w:i/>
        </w:rPr>
        <w:t xml:space="preserve">Indonesia Jakarta</w:t>
      </w:r>
      <w:r>
        <w:t xml:space="preserve"> </w:t>
      </w:r>
      <w:r>
        <w:t xml:space="preserve">and beyond.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Ophthalmologist Services in Jakarta, Indonesia</dc:title>
  <dc:creator/>
  <dc:language>en</dc:language>
  <cp:keywords/>
  <dcterms:created xsi:type="dcterms:W3CDTF">2026-07-23T18:05:59Z</dcterms:created>
  <dcterms:modified xsi:type="dcterms:W3CDTF">2026-07-23T18:05:59Z</dcterms:modified>
</cp:coreProperties>
</file>

<file path=docProps/custom.xml><?xml version="1.0" encoding="utf-8"?>
<Properties xmlns="http://schemas.openxmlformats.org/officeDocument/2006/custom-properties" xmlns:vt="http://schemas.openxmlformats.org/officeDocument/2006/docPropsVTypes"/>
</file>