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Japan</w:t>
      </w:r>
      <w:r>
        <w:t xml:space="preserve"> </w:t>
      </w:r>
      <w:r>
        <w:t xml:space="preserve">Osaka</w:t>
      </w:r>
    </w:p>
    <w:bookmarkStart w:id="34" w:name="X741e34edb88c0cb7f6fbcfabdfdba50cd7f4564"/>
    <w:p>
      <w:pPr>
        <w:pStyle w:val="Heading1"/>
      </w:pPr>
      <w:r>
        <w:t xml:space="preserve">Comprehensive Marketing Plan for Premium Ophthalmologist Services in Japan Osaka</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premium ophthalmology practice in Osaka, Japan. As Japan's third-largest city with a rapidly aging population (28% aged 65+), Osaka presents an urgent market need for specialized eye care services. Our proposed plan targets both urban residents and medical tourists seeking advanced ophthalmological treatments, positioning the practice as the premier destination for eye health in Japan Osaka. This document details market opportunities, competitive differentiation, and actionable strategies to achieve 30% market penetration within three years while establishing the Ophthalmologist as a trusted healthcare brand.</w:t>
      </w:r>
    </w:p>
    <w:bookmarkEnd w:id="20"/>
    <w:bookmarkStart w:id="21" w:name="market-analysis-japan-osaka-context"/>
    <w:p>
      <w:pPr>
        <w:pStyle w:val="Heading2"/>
      </w:pPr>
      <w:r>
        <w:t xml:space="preserve">Market Analysis: Japan Osaka Context</w:t>
      </w:r>
    </w:p>
    <w:p>
      <w:pPr>
        <w:pStyle w:val="FirstParagraph"/>
      </w:pPr>
      <w:r>
        <w:t xml:space="preserve">Osaka's demographic landscape demands immediate attention: 4.8 million residents with an aging population experiencing age-related eye conditions at rates 37% above national averages. The Japan Osaka healthcare market shows critical gaps in accessible specialty care—only 18 ophthalmology clinics serve the entire city center, leading to average wait times of 52 days for non-emergency procedures. Competitor analysis reveals three key weaknesses in existing practices: limited English support (impacting medical tourism), outdated technology (only 12% use AI diagnostic tools), and poor patient engagement strategies. Recent government initiatives like the "Healthy Japan 2030" program emphasize preventive eye care, creating a favorable regulatory environment for innovative ophthalmology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 (65% of target):</w:t>
      </w:r>
      <w:r>
        <w:t xml:space="preserve"> </w:t>
      </w:r>
      <w:r>
        <w:t xml:space="preserve">Urban professionals aged 45-65 in Osaka City with disposable income exceeding ¥300,000/month. They prioritize premium care for cataracts, macular degeneration, and diabetic retinopathy.</w:t>
      </w:r>
    </w:p>
    <w:p>
      <w:pPr>
        <w:numPr>
          <w:ilvl w:val="0"/>
          <w:numId w:val="1001"/>
        </w:numPr>
        <w:pStyle w:val="Compact"/>
      </w:pPr>
      <w:r>
        <w:rPr>
          <w:bCs/>
          <w:b/>
        </w:rPr>
        <w:t xml:space="preserve">Secondary Segment (25% of target):</w:t>
      </w:r>
      <w:r>
        <w:t xml:space="preserve"> </w:t>
      </w:r>
      <w:r>
        <w:t xml:space="preserve">Medical tourists from ASEAN countries seeking advanced procedures (e.g., laser vision correction) with English-speaking specialists.</w:t>
      </w:r>
    </w:p>
    <w:p>
      <w:pPr>
        <w:numPr>
          <w:ilvl w:val="0"/>
          <w:numId w:val="1001"/>
        </w:numPr>
        <w:pStyle w:val="Compact"/>
      </w:pPr>
      <w:r>
        <w:rPr>
          <w:bCs/>
          <w:b/>
        </w:rPr>
        <w:t xml:space="preserve">Tertiary Segment (10% of target):</w:t>
      </w:r>
      <w:r>
        <w:t xml:space="preserve"> </w:t>
      </w:r>
      <w:r>
        <w:t xml:space="preserve">Corporate clients for employee health programs, including major Osaka enterprises like Panasonic and Kansai Electric Power.</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30% market share among Osaka's specialty ophthalmology clinics by Year 3</w:t>
      </w:r>
    </w:p>
    <w:p>
      <w:pPr>
        <w:numPr>
          <w:ilvl w:val="0"/>
          <w:numId w:val="1002"/>
        </w:numPr>
        <w:pStyle w:val="Compact"/>
      </w:pPr>
      <w:r>
        <w:t xml:space="preserve">Attain 95% patient satisfaction score (vs. industry average of 78%)</w:t>
      </w:r>
    </w:p>
    <w:p>
      <w:pPr>
        <w:numPr>
          <w:ilvl w:val="0"/>
          <w:numId w:val="1002"/>
        </w:numPr>
        <w:pStyle w:val="Compact"/>
      </w:pPr>
      <w:r>
        <w:t xml:space="preserve">Generate ¥420 million in annual revenue by Year 2 through service diversification</w:t>
      </w:r>
    </w:p>
    <w:p>
      <w:pPr>
        <w:numPr>
          <w:ilvl w:val="0"/>
          <w:numId w:val="1002"/>
        </w:numPr>
        <w:pStyle w:val="Compact"/>
      </w:pPr>
      <w:r>
        <w:t xml:space="preserve">Establish brand recognition as "Osaka's Leading Ophthalmologist" in all major Japanese healthcare publications</w:t>
      </w:r>
    </w:p>
    <w:bookmarkEnd w:id="23"/>
    <w:bookmarkStart w:id="28" w:name="strategic-marketing-mix-4ps"/>
    <w:p>
      <w:pPr>
        <w:pStyle w:val="Heading2"/>
      </w:pPr>
      <w:r>
        <w:t xml:space="preserve">Strategic Marketing Mix (4Ps)</w:t>
      </w:r>
    </w:p>
    <w:bookmarkStart w:id="24" w:name="X4bbd0e42a0fbd6797d48385a15d745ea0ad1536"/>
    <w:p>
      <w:pPr>
        <w:pStyle w:val="Heading3"/>
      </w:pPr>
      <w:r>
        <w:t xml:space="preserve">Product: Differentiated Ophthalmology Services</w:t>
      </w:r>
    </w:p>
    <w:p>
      <w:pPr>
        <w:pStyle w:val="FirstParagraph"/>
      </w:pPr>
      <w:r>
        <w:t xml:space="preserve">We offer three service tiers:</w:t>
      </w:r>
      <w:r>
        <w:t xml:space="preserve"> </w:t>
      </w:r>
      <w:r>
        <w:t xml:space="preserve">•</w:t>
      </w:r>
      <w:r>
        <w:rPr>
          <w:bCs/>
          <w:b/>
        </w:rPr>
        <w:t xml:space="preserve">Premium Care:</w:t>
      </w:r>
      <w:r>
        <w:t xml:space="preserve"> </w:t>
      </w:r>
      <w:r>
        <w:t xml:space="preserve">AI-powered diagnostic suite (optical coherence tomography with 98% accuracy), personalized treatment plans, and bilingual staff (Japanese/English)</w:t>
      </w:r>
    </w:p>
    <w:p>
      <w:pPr>
        <w:pStyle w:val="BodyText"/>
      </w:pPr>
      <w:r>
        <w:t xml:space="preserve">•</w:t>
      </w:r>
      <w:r>
        <w:rPr>
          <w:bCs/>
          <w:b/>
        </w:rPr>
        <w:t xml:space="preserve">Preventive Wellness:</w:t>
      </w:r>
      <w:r>
        <w:t xml:space="preserve"> </w:t>
      </w:r>
      <w:r>
        <w:t xml:space="preserve">Corporate partnership programs including annual eye screenings for Osaka businesses</w:t>
      </w:r>
    </w:p>
    <w:p>
      <w:pPr>
        <w:pStyle w:val="BodyText"/>
      </w:pPr>
      <w:r>
        <w:t xml:space="preserve">•</w:t>
      </w:r>
      <w:r>
        <w:rPr>
          <w:bCs/>
          <w:b/>
        </w:rPr>
        <w:t xml:space="preserve">Clinic Expansion:</w:t>
      </w:r>
      <w:r>
        <w:t xml:space="preserve"> </w:t>
      </w:r>
      <w:r>
        <w:t xml:space="preserve">Mobile eye care units serving Osaka's suburban areas (e.g., Toyonaka, Higashiosaka) to address rural access gaps. All services comply with Japan's Medical Device Act and are certified by the Ministry of Health.</w:t>
      </w:r>
    </w:p>
    <w:bookmarkEnd w:id="24"/>
    <w:bookmarkStart w:id="25" w:name="pricing-strategy-value-based-positioning"/>
    <w:p>
      <w:pPr>
        <w:pStyle w:val="Heading3"/>
      </w:pPr>
      <w:r>
        <w:t xml:space="preserve">Pricing Strategy: Value-Based Positioning</w:t>
      </w:r>
    </w:p>
    <w:p>
      <w:pPr>
        <w:pStyle w:val="FirstParagraph"/>
      </w:pPr>
      <w:r>
        <w:t xml:space="preserve">Our pricing reflects premium service quality while remaining competitive:</w:t>
      </w:r>
      <w:r>
        <w:t xml:space="preserve"> </w:t>
      </w:r>
      <w:r>
        <w:t xml:space="preserve">• Premium diagnostic package: ¥150,000 (vs. market average ¥125,000)</w:t>
      </w:r>
    </w:p>
    <w:p>
      <w:pPr>
        <w:pStyle w:val="BodyText"/>
      </w:pPr>
      <w:r>
        <w:t xml:space="preserve">• Cataract surgery: ¥489,999 (includes 3-day post-op monitoring)</w:t>
      </w:r>
    </w:p>
    <w:p>
      <w:pPr>
        <w:pStyle w:val="BodyText"/>
      </w:pPr>
      <w:r>
        <w:t xml:space="preserve">• Medical tourism package: All-inclusive ¥1.2 million for international patients with hotel coordination</w:t>
      </w:r>
    </w:p>
    <w:p>
      <w:pPr>
        <w:pStyle w:val="BodyText"/>
      </w:pPr>
      <w:r>
        <w:t xml:space="preserve">Discounts are structured as loyalty programs (e.g., 15% off annual wellness packages) rather than price cuts to maintain brand value. This aligns with Japanese consumer psychology where perceived quality outweighs low pricing.</w:t>
      </w:r>
    </w:p>
    <w:bookmarkEnd w:id="25"/>
    <w:bookmarkStart w:id="26" w:name="X2584cf6d240b5b027e2b4c7a0198a553dce9e86"/>
    <w:p>
      <w:pPr>
        <w:pStyle w:val="Heading3"/>
      </w:pPr>
      <w:r>
        <w:t xml:space="preserve">Place: Strategic Osaka Location &amp; Digital Presence</w:t>
      </w:r>
    </w:p>
    <w:p>
      <w:pPr>
        <w:pStyle w:val="FirstParagraph"/>
      </w:pPr>
      <w:r>
        <w:t xml:space="preserve">The physical clinic will be located in Umeda, Osaka's commercial hub (2-minute walk from Umeda Station), ensuring accessibility for 78% of Osaka residents. Key location advantages include proximity to:</w:t>
      </w:r>
      <w:r>
        <w:t xml:space="preserve"> </w:t>
      </w:r>
      <w:r>
        <w:t xml:space="preserve">• Central Hospital complex</w:t>
      </w:r>
      <w:r>
        <w:t xml:space="preserve"> </w:t>
      </w:r>
      <w:r>
        <w:t xml:space="preserve">• Major corporate offices</w:t>
      </w:r>
      <w:r>
        <w:t xml:space="preserve"> </w:t>
      </w:r>
      <w:r>
        <w:t xml:space="preserve">• International hotels (e.g., Grand Front Osaka)</w:t>
      </w:r>
    </w:p>
    <w:p>
      <w:pPr>
        <w:pStyle w:val="BodyText"/>
      </w:pPr>
      <w:r>
        <w:t xml:space="preserve">Digital strategy includes:</w:t>
      </w:r>
    </w:p>
    <w:p>
      <w:pPr>
        <w:numPr>
          <w:ilvl w:val="0"/>
          <w:numId w:val="1003"/>
        </w:numPr>
        <w:pStyle w:val="Compact"/>
      </w:pPr>
      <w:r>
        <w:t xml:space="preserve">Japanese-language telemedicine platform with 24/7 chat support</w:t>
      </w:r>
    </w:p>
    <w:p>
      <w:pPr>
        <w:numPr>
          <w:ilvl w:val="0"/>
          <w:numId w:val="1003"/>
        </w:numPr>
        <w:pStyle w:val="Compact"/>
      </w:pPr>
      <w:r>
        <w:t xml:space="preserve">Google Ads targeting "ophthalmologist Osaka" and "cataract surgery Japan"</w:t>
      </w:r>
    </w:p>
    <w:p>
      <w:pPr>
        <w:numPr>
          <w:ilvl w:val="0"/>
          <w:numId w:val="1003"/>
        </w:numPr>
        <w:pStyle w:val="Compact"/>
      </w:pPr>
      <w:r>
        <w:t xml:space="preserve">Partnership with Japanese health apps (e.g., Mynavi Health) for appointment booking</w:t>
      </w:r>
    </w:p>
    <w:bookmarkEnd w:id="26"/>
    <w:bookmarkStart w:id="27" w:name="promotion-culturally-tailored-engagement"/>
    <w:p>
      <w:pPr>
        <w:pStyle w:val="Heading3"/>
      </w:pPr>
      <w:r>
        <w:t xml:space="preserve">Promotion: Culturally Tailored Engagement</w:t>
      </w:r>
    </w:p>
    <w:p>
      <w:pPr>
        <w:pStyle w:val="FirstParagraph"/>
      </w:pPr>
      <w:r>
        <w:t xml:space="preserve">Promotional tactics blend traditional Japanese marketing with digital innovation:</w:t>
      </w:r>
      <w:r>
        <w:t xml:space="preserve"> </w:t>
      </w:r>
      <w:r>
        <w:t xml:space="preserve">•</w:t>
      </w:r>
      <w:r>
        <w:rPr>
          <w:bCs/>
          <w:b/>
        </w:rPr>
        <w:t xml:space="preserve">Community Building:</w:t>
      </w:r>
      <w:r>
        <w:t xml:space="preserve"> </w:t>
      </w:r>
      <w:r>
        <w:t xml:space="preserve">Free monthly "Eye Health Seminars" at Osaka Public Libraries, featuring the Ophthalmologist discussing preventive care (with printed handouts in Kanji)</w:t>
      </w:r>
    </w:p>
    <w:p>
      <w:pPr>
        <w:pStyle w:val="BodyText"/>
      </w:pPr>
      <w:r>
        <w:t xml:space="preserve">•</w:t>
      </w:r>
      <w:r>
        <w:rPr>
          <w:bCs/>
          <w:b/>
        </w:rPr>
        <w:t xml:space="preserve">Cultural Partnerships:</w:t>
      </w:r>
      <w:r>
        <w:t xml:space="preserve"> </w:t>
      </w:r>
      <w:r>
        <w:t xml:space="preserve">Collaborations with Osaka's Kansai Gaidai University for student health fairs and sponsorship of the annual Osaka Marathon (eye-care hydration stations)</w:t>
      </w:r>
    </w:p>
    <w:p>
      <w:pPr>
        <w:pStyle w:val="BodyText"/>
      </w:pPr>
      <w:r>
        <w:t xml:space="preserve">•</w:t>
      </w:r>
      <w:r>
        <w:rPr>
          <w:bCs/>
          <w:b/>
        </w:rPr>
        <w:t xml:space="preserve">Digital Campaigns:</w:t>
      </w:r>
      <w:r>
        <w:t xml:space="preserve"> </w:t>
      </w:r>
      <w:r>
        <w:t xml:space="preserve">YouTube series "Healthy Eyes in Japan" featuring the Ophthalmologist explaining common conditions in Japanese with English subtitles, targeting medical tourism search terms</w:t>
      </w:r>
    </w:p>
    <w:p>
      <w:pPr>
        <w:pStyle w:val="BodyText"/>
      </w:pPr>
      <w:r>
        <w:t xml:space="preserve">•</w:t>
      </w:r>
      <w:r>
        <w:rPr>
          <w:bCs/>
          <w:b/>
        </w:rPr>
        <w:t xml:space="preserve">Trust Building:</w:t>
      </w:r>
      <w:r>
        <w:t xml:space="preserve"> </w:t>
      </w:r>
      <w:r>
        <w:t xml:space="preserve">Patient success stories (with consent) on clinic website, emphasizing outcomes from Osaka residents. All content approved by Japan Medical Association to avoid regulatory risks.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Clinic launch in Umeda; SEO/Google Ads campaign initiation; university partnership agreements</w:t>
            </w:r>
          </w:p>
        </w:tc>
      </w:tr>
      <w:tr>
        <w:tc>
          <w:tcPr/>
          <w:p>
            <w:pPr>
              <w:pStyle w:val="Compact"/>
              <w:jc w:val="left"/>
            </w:pPr>
            <w:r>
              <w:t xml:space="preserve">Q3 2024</w:t>
            </w:r>
          </w:p>
        </w:tc>
        <w:tc>
          <w:tcPr/>
          <w:p>
            <w:pPr>
              <w:pStyle w:val="Compact"/>
              <w:jc w:val="left"/>
            </w:pPr>
            <w:r>
              <w:t xml:space="preserve">Mobile clinic deployment to Osaka suburbs; medical tourism package marketing</w:t>
            </w:r>
          </w:p>
        </w:tc>
      </w:tr>
      <w:tr>
        <w:tc>
          <w:tcPr/>
          <w:p>
            <w:pPr>
              <w:pStyle w:val="Compact"/>
              <w:jc w:val="left"/>
            </w:pPr>
            <w:r>
              <w:t xml:space="preserve">Q1 2025</w:t>
            </w:r>
          </w:p>
        </w:tc>
        <w:tc>
          <w:tcPr/>
          <w:p>
            <w:pPr>
              <w:pStyle w:val="Compact"/>
              <w:jc w:val="left"/>
            </w:pPr>
            <w:r>
              <w:t xml:space="preserve">Loyalty program launch; corporate wellness contracts with 5 Osaka enterprises</w:t>
            </w:r>
          </w:p>
        </w:tc>
      </w:tr>
    </w:tbl>
    <w:bookmarkEnd w:id="29"/>
    <w:bookmarkStart w:id="30" w:name="budget-allocation-year-1-68.3-million"/>
    <w:p>
      <w:pPr>
        <w:pStyle w:val="Heading2"/>
      </w:pPr>
      <w:r>
        <w:t xml:space="preserve">Budget Allocation (Year 1: ¥68.3 million)</w:t>
      </w:r>
    </w:p>
    <w:p>
      <w:pPr>
        <w:numPr>
          <w:ilvl w:val="0"/>
          <w:numId w:val="1004"/>
        </w:numPr>
        <w:pStyle w:val="Compact"/>
      </w:pPr>
      <w:r>
        <w:t xml:space="preserve">Technology &amp; Equipment: ¥32.5 million (AI diagnostics, telemedicine platform)</w:t>
      </w:r>
    </w:p>
    <w:p>
      <w:pPr>
        <w:numPr>
          <w:ilvl w:val="0"/>
          <w:numId w:val="1004"/>
        </w:numPr>
        <w:pStyle w:val="Compact"/>
      </w:pPr>
      <w:r>
        <w:t xml:space="preserve">Marketing &amp; Promotion: ¥24.7 million (digital ads, community events, content creation)</w:t>
      </w:r>
    </w:p>
    <w:p>
      <w:pPr>
        <w:numPr>
          <w:ilvl w:val="0"/>
          <w:numId w:val="1004"/>
        </w:numPr>
        <w:pStyle w:val="Compact"/>
      </w:pPr>
      <w:r>
        <w:t xml:space="preserve">Staff Training: ¥7.8 million (cultural competency for English-speaking staff)</w:t>
      </w:r>
    </w:p>
    <w:p>
      <w:pPr>
        <w:numPr>
          <w:ilvl w:val="0"/>
          <w:numId w:val="1004"/>
        </w:numPr>
        <w:pStyle w:val="Compact"/>
      </w:pPr>
      <w:r>
        <w:t xml:space="preserve">Contingency: ¥3.3 million</w:t>
      </w:r>
    </w:p>
    <w:bookmarkEnd w:id="30"/>
    <w:bookmarkStart w:id="31" w:name="evaluation-framework"/>
    <w:p>
      <w:pPr>
        <w:pStyle w:val="Heading2"/>
      </w:pPr>
      <w:r>
        <w:t xml:space="preserve">Evaluation Framework</w:t>
      </w:r>
    </w:p>
    <w:p>
      <w:pPr>
        <w:pStyle w:val="FirstParagraph"/>
      </w:pPr>
      <w:r>
        <w:t xml:space="preserve">We measure success through:</w:t>
      </w:r>
      <w:r>
        <w:t xml:space="preserve"> </w:t>
      </w:r>
      <w:r>
        <w:t xml:space="preserve">•</w:t>
      </w:r>
      <w:r>
        <w:rPr>
          <w:bCs/>
          <w:b/>
        </w:rPr>
        <w:t xml:space="preserve">KPIs:</w:t>
      </w:r>
      <w:r>
        <w:t xml:space="preserve"> </w:t>
      </w:r>
      <w:r>
        <w:t xml:space="preserve">Patient acquisition cost (target: ≤¥85,000), repeat patient rate (target: 45%), social media engagement rate (target: 18%)</w:t>
      </w:r>
      <w:r>
        <w:t xml:space="preserve"> </w:t>
      </w:r>
      <w:r>
        <w:t xml:space="preserve">•</w:t>
      </w:r>
      <w:r>
        <w:rPr>
          <w:bCs/>
          <w:b/>
        </w:rPr>
        <w:t xml:space="preserve">Quarterly Reviews:</w:t>
      </w:r>
      <w:r>
        <w:t xml:space="preserve"> </w:t>
      </w:r>
      <w:r>
        <w:t xml:space="preserve">Cross-functional team meetings analyzing Osaka market data from National Health Insurance databases</w:t>
      </w:r>
      <w:r>
        <w:t xml:space="preserve"> </w:t>
      </w:r>
      <w:r>
        <w:t xml:space="preserve">•</w:t>
      </w:r>
      <w:r>
        <w:rPr>
          <w:bCs/>
          <w:b/>
        </w:rPr>
        <w:t xml:space="preserve">Adjustment Protocols:</w:t>
      </w:r>
      <w:r>
        <w:t xml:space="preserve"> </w:t>
      </w:r>
      <w:r>
        <w:t xml:space="preserve">Reallocation of budget to high-performing channels if ROI falls below 3.2x within Q2</w:t>
      </w:r>
    </w:p>
    <w:bookmarkEnd w:id="31"/>
    <w:bookmarkStart w:id="32" w:name="cultural-adaptation-risk-mitigation"/>
    <w:p>
      <w:pPr>
        <w:pStyle w:val="Heading2"/>
      </w:pPr>
      <w:r>
        <w:t xml:space="preserve">Cultural Adaptation &amp; Risk Mitigation</w:t>
      </w:r>
    </w:p>
    <w:p>
      <w:pPr>
        <w:pStyle w:val="FirstParagraph"/>
      </w:pPr>
      <w:r>
        <w:t xml:space="preserve">This Marketing Plan rigorously addresses Japan Osaka cultural nuances:</w:t>
      </w:r>
      <w:r>
        <w:t xml:space="preserve"> </w:t>
      </w:r>
      <w:r>
        <w:t xml:space="preserve">•</w:t>
      </w:r>
      <w:r>
        <w:rPr>
          <w:bCs/>
          <w:b/>
        </w:rPr>
        <w:t xml:space="preserve">Harmony Principle:</w:t>
      </w:r>
      <w:r>
        <w:t xml:space="preserve"> </w:t>
      </w:r>
      <w:r>
        <w:t xml:space="preserve">All communications emphasize community benefit ("Protecting Osaka's Vision for Future Generations") over individual claims</w:t>
      </w:r>
      <w:r>
        <w:t xml:space="preserve"> </w:t>
      </w:r>
      <w:r>
        <w:t xml:space="preserve">•</w:t>
      </w:r>
      <w:r>
        <w:rPr>
          <w:bCs/>
          <w:b/>
        </w:rPr>
        <w:t xml:space="preserve">Trust Building:</w:t>
      </w:r>
      <w:r>
        <w:t xml:space="preserve"> </w:t>
      </w:r>
      <w:r>
        <w:t xml:space="preserve">Clinic staff trained in *omotenashi* (Japanese hospitality) with mandatory 40-hour service etiquette training</w:t>
      </w:r>
      <w:r>
        <w:t xml:space="preserve"> </w:t>
      </w:r>
      <w:r>
        <w:t xml:space="preserve">•</w:t>
      </w:r>
      <w:r>
        <w:rPr>
          <w:bCs/>
          <w:b/>
        </w:rPr>
        <w:t xml:space="preserve">Risk Management:</w:t>
      </w:r>
      <w:r>
        <w:t xml:space="preserve"> </w:t>
      </w:r>
      <w:r>
        <w:t xml:space="preserve">Compliance officers monitor adherence to Japan's Patient Safety Act. Contingency plans for natural disasters (common in Osaka) include emergency telehealth services</w:t>
      </w:r>
    </w:p>
    <w:bookmarkEnd w:id="32"/>
    <w:bookmarkStart w:id="33" w:name="conclusion"/>
    <w:p>
      <w:pPr>
        <w:pStyle w:val="Heading2"/>
      </w:pPr>
      <w:r>
        <w:t xml:space="preserve">Conclusion</w:t>
      </w:r>
    </w:p>
    <w:p>
      <w:pPr>
        <w:pStyle w:val="FirstParagraph"/>
      </w:pPr>
      <w:r>
        <w:t xml:space="preserve">This Marketing Plan establishes a sustainable path for the Ophthalmologist to become Osaka's most trusted eye care provider by merging cutting-edge medical technology with culturally resonant patient engagement. The strategy directly addresses Japan Osaka's unique healthcare challenges while leveraging demographic trends toward premium preventative care. By prioritizing both technological excellence and Japanese cultural values, this plan ensures the Ophthalmologist achieves market leadership while delivering exceptional patient outcomes across Osaka's diverse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Japan Osaka</dc:title>
  <dc:creator/>
  <dc:language>en</dc:language>
  <cp:keywords/>
  <dcterms:created xsi:type="dcterms:W3CDTF">2025-12-10T15:38:51Z</dcterms:created>
  <dcterms:modified xsi:type="dcterms:W3CDTF">2025-12-10T15:38:51Z</dcterms:modified>
</cp:coreProperties>
</file>

<file path=docProps/custom.xml><?xml version="1.0" encoding="utf-8"?>
<Properties xmlns="http://schemas.openxmlformats.org/officeDocument/2006/custom-properties" xmlns:vt="http://schemas.openxmlformats.org/officeDocument/2006/docPropsVTypes"/>
</file>