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Malaysia</w:t>
      </w:r>
      <w:r>
        <w:t xml:space="preserve"> </w:t>
      </w:r>
      <w:r>
        <w:t xml:space="preserve">Kuala</w:t>
      </w:r>
      <w:r>
        <w:t xml:space="preserve"> </w:t>
      </w:r>
      <w:r>
        <w:t xml:space="preserve">Lumpur</w:t>
      </w:r>
    </w:p>
    <w:bookmarkStart w:id="32" w:name="X1e90ab7746f2dff68856e9361dfa5db99a870d7"/>
    <w:p>
      <w:pPr>
        <w:pStyle w:val="Heading1"/>
      </w:pPr>
      <w:r>
        <w:t xml:space="preserve">Comprehensive Marketing Plan for Ophthalmologist Practice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the competitive healthcare landscape of Malaysia Kuala Lumpur. As one of Southeast Asia's leading medical tourism hubs, Kuala Lumpur presents unique opportunities for specialized eye care services. This plan targets high-potential demographics through culturally nuanced marketing strategies that position our Ophthalmologist as the premier choice for comprehensive eye health solutions across all communities in Malaysia Kuala Lumpur.</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ophthalmology market is experiencing significant growth due to aging population, rising diabetes prevalence, and increasing digital screen usage. With 65% of Malaysians over 40 showing early signs of eye conditions (MOH Malaysia 2023), demand for specialized care exceeds supply in premium segments. However, cultural preferences remain critical: Malay patients prioritize family involvement in healthcare decisions, Chinese communities seek advanced technology validation, and Indian populations value holistic approaches alongside medical treatment.</w:t>
      </w:r>
    </w:p>
    <w:p>
      <w:pPr>
        <w:pStyle w:val="BodyText"/>
      </w:pPr>
      <w:r>
        <w:t xml:space="preserve">The current competitive landscape shows only 12% of Kuala Lumpur's ophthalmology practices offer multilingual services (English/Malay/Chinese) with cultural competency training. This gap presents a strategic opportunity for our Ophthalmologist to dominate through culturally intelligent marketing in Malaysia Kuala Lumpur.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Malaysians aged 45-65 with chronic conditions (diabetes, hypertension) requiring regular eye screening. 78% of this group visits hospitals rather than specialized clinics due to accessibility issues.</w:t>
      </w:r>
    </w:p>
    <w:p>
      <w:pPr>
        <w:numPr>
          <w:ilvl w:val="0"/>
          <w:numId w:val="1001"/>
        </w:numPr>
        <w:pStyle w:val="Compact"/>
      </w:pPr>
      <w:r>
        <w:rPr>
          <w:bCs/>
          <w:b/>
        </w:rPr>
        <w:t xml:space="preserve">Secondary Segment:</w:t>
      </w:r>
      <w:r>
        <w:t xml:space="preserve"> </w:t>
      </w:r>
      <w:r>
        <w:t xml:space="preserve">International patients from ASEAN countries seeking medical tourism; Kuala Lumpur attracts 120,000+ international patients annually (MOT Malaysia).</w:t>
      </w:r>
    </w:p>
    <w:p>
      <w:pPr>
        <w:numPr>
          <w:ilvl w:val="0"/>
          <w:numId w:val="1001"/>
        </w:numPr>
        <w:pStyle w:val="Compact"/>
      </w:pPr>
      <w:r>
        <w:rPr>
          <w:bCs/>
          <w:b/>
        </w:rPr>
        <w:t xml:space="preserve">Tertiary Segment:</w:t>
      </w:r>
      <w:r>
        <w:t xml:space="preserve"> </w:t>
      </w:r>
      <w:r>
        <w:t xml:space="preserve">Corporate clients for executive eye health packages (5-8% of target market with high disposable income).</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30% market share among premium ophthalmology services in Kuala Lumpur</w:t>
      </w:r>
    </w:p>
    <w:p>
      <w:pPr>
        <w:numPr>
          <w:ilvl w:val="0"/>
          <w:numId w:val="1002"/>
        </w:numPr>
        <w:pStyle w:val="Compact"/>
      </w:pPr>
      <w:r>
        <w:t xml:space="preserve">500 new patient consultations monthly (45% from international referrals)</w:t>
      </w:r>
    </w:p>
    <w:p>
      <w:pPr>
        <w:numPr>
          <w:ilvl w:val="0"/>
          <w:numId w:val="1002"/>
        </w:numPr>
        <w:pStyle w:val="Compact"/>
      </w:pPr>
      <w:r>
        <w:t xml:space="preserve">92% patient satisfaction rate through culturally tailored service delivery</w:t>
      </w:r>
    </w:p>
    <w:p>
      <w:pPr>
        <w:numPr>
          <w:ilvl w:val="0"/>
          <w:numId w:val="1002"/>
        </w:numPr>
        <w:pStyle w:val="Compact"/>
      </w:pPr>
      <w:r>
        <w:t xml:space="preserve">Top 3 ranking in Google Maps for "Ophthalmologist Kuala Lumpur" and "Eye Specialist Malaysia"</w:t>
      </w:r>
    </w:p>
    <w:bookmarkEnd w:id="23"/>
    <w:bookmarkStart w:id="26" w:name="X18e0746c3d57437fdd744110dcac00746349995"/>
    <w:p>
      <w:pPr>
        <w:pStyle w:val="Heading2"/>
      </w:pPr>
      <w:r>
        <w:t xml:space="preserve">Cultural Marketing Strategies for Malaysia Kuala Lumpur</w:t>
      </w:r>
    </w:p>
    <w:bookmarkStart w:id="24" w:name="digital-strategy-primary-channel"/>
    <w:p>
      <w:pPr>
        <w:pStyle w:val="Heading3"/>
      </w:pPr>
      <w:r>
        <w:t xml:space="preserve">Digital Strategy (Primary Channel)</w:t>
      </w:r>
    </w:p>
    <w:p>
      <w:pPr>
        <w:pStyle w:val="FirstParagraph"/>
      </w:pPr>
      <w:r>
        <w:t xml:space="preserve">Our digital strategy leverages Malaysia's high smartphone penetration (98%) with culturally specific content:</w:t>
      </w:r>
    </w:p>
    <w:p>
      <w:pPr>
        <w:numPr>
          <w:ilvl w:val="0"/>
          <w:numId w:val="1003"/>
        </w:numPr>
        <w:pStyle w:val="Compact"/>
      </w:pPr>
      <w:r>
        <w:t xml:space="preserve">Localized SEO: Optimization for Malay/Chinese keywords ("pakar mata Kuala Lumpur", "眼科医生吉隆坡") alongside English terms</w:t>
      </w:r>
    </w:p>
    <w:p>
      <w:pPr>
        <w:numPr>
          <w:ilvl w:val="0"/>
          <w:numId w:val="1003"/>
        </w:numPr>
        <w:pStyle w:val="Compact"/>
      </w:pPr>
      <w:r>
        <w:t xml:space="preserve">Video Library: Educational content in three languages showing local patients discussing eye care journeys (featuring Malaysian doctors)</w:t>
      </w:r>
    </w:p>
    <w:p>
      <w:pPr>
        <w:numPr>
          <w:ilvl w:val="0"/>
          <w:numId w:val="1003"/>
        </w:numPr>
        <w:pStyle w:val="Compact"/>
      </w:pPr>
      <w:r>
        <w:t xml:space="preserve">Facebook/Instagram Campaigns: Collaborations with Malaysian influencers for "Eye Health Month" challenges targeting different ethnic groups</w:t>
      </w:r>
    </w:p>
    <w:p>
      <w:pPr>
        <w:numPr>
          <w:ilvl w:val="0"/>
          <w:numId w:val="1003"/>
        </w:numPr>
        <w:pStyle w:val="Compact"/>
      </w:pPr>
      <w:r>
        <w:t xml:space="preserve">Google Ads Strategy: Geo-targeted campaigns within 15km of KLCC, Bangsar, and Petaling Jaya with Malay-language landing pages</w:t>
      </w:r>
    </w:p>
    <w:bookmarkEnd w:id="24"/>
    <w:bookmarkStart w:id="25" w:name="Xeb57c043a38a1226567fb1aee837037f36bb78a"/>
    <w:p>
      <w:pPr>
        <w:pStyle w:val="Heading3"/>
      </w:pPr>
      <w:r>
        <w:t xml:space="preserve">Community Engagement (Kuala Lumpur Specific)</w:t>
      </w:r>
    </w:p>
    <w:p>
      <w:pPr>
        <w:pStyle w:val="FirstParagraph"/>
      </w:pPr>
      <w:r>
        <w:t xml:space="preserve">We implement hyper-local community initiatives:</w:t>
      </w:r>
    </w:p>
    <w:p>
      <w:pPr>
        <w:numPr>
          <w:ilvl w:val="0"/>
          <w:numId w:val="1004"/>
        </w:numPr>
        <w:pStyle w:val="Compact"/>
      </w:pPr>
      <w:r>
        <w:t xml:space="preserve">Monthly "Vision Check Clinics" at KL mosques (Malay), temples (Indian), and clan associations (Chinese) in partnership with local NGOs</w:t>
      </w:r>
    </w:p>
    <w:p>
      <w:pPr>
        <w:numPr>
          <w:ilvl w:val="0"/>
          <w:numId w:val="1004"/>
        </w:numPr>
        <w:pStyle w:val="Compact"/>
      </w:pPr>
      <w:r>
        <w:t xml:space="preserve">Free diabetic retinopathy screening events at KL City Hall during Ramadan and Chinese New Year</w:t>
      </w:r>
    </w:p>
    <w:p>
      <w:pPr>
        <w:numPr>
          <w:ilvl w:val="0"/>
          <w:numId w:val="1004"/>
        </w:numPr>
        <w:pStyle w:val="Compact"/>
      </w:pPr>
      <w:r>
        <w:t xml:space="preserve">Sponsorship of Malaysian Eye Care Foundation events to build credibility as the community's Ophthalmologist partner</w:t>
      </w:r>
    </w:p>
    <w:p>
      <w:pPr>
        <w:pStyle w:val="FirstParagraph"/>
      </w:pPr>
      <w:r>
        <w:t xml:space="preserve">Physician Partnership Program</w:t>
      </w:r>
    </w:p>
    <w:p>
      <w:pPr>
        <w:pStyle w:val="BodyText"/>
      </w:pPr>
      <w:r>
        <w:t xml:space="preserve">Forge strategic alliances with:</w:t>
      </w:r>
    </w:p>
    <w:p>
      <w:pPr>
        <w:numPr>
          <w:ilvl w:val="0"/>
          <w:numId w:val="1005"/>
        </w:numPr>
        <w:pStyle w:val="Compact"/>
      </w:pPr>
      <w:r>
        <w:t xml:space="preserve">Primary care clinics across Malaysia Kuala Lumpur for patient referrals (5% commission structure)</w:t>
      </w:r>
    </w:p>
    <w:p>
      <w:pPr>
        <w:numPr>
          <w:ilvl w:val="0"/>
          <w:numId w:val="1005"/>
        </w:numPr>
        <w:pStyle w:val="Compact"/>
      </w:pPr>
      <w:r>
        <w:t xml:space="preserve">Tertiary hospitals like KPJ Damansara and Sunway Medical Centre for complex case transfers</w:t>
      </w:r>
    </w:p>
    <w:p>
      <w:pPr>
        <w:numPr>
          <w:ilvl w:val="0"/>
          <w:numId w:val="1005"/>
        </w:numPr>
        <w:pStyle w:val="Compact"/>
      </w:pPr>
      <w:r>
        <w:t xml:space="preserve">Premium corporate wellness programs (e.g., Maybank, Petronas) offering executive eye health packages</w:t>
      </w:r>
    </w:p>
    <w:bookmarkEnd w:id="25"/>
    <w:bookmarkEnd w:id="26"/>
    <w:bookmarkStart w:id="27" w:name="budget-allocation-rm-1.2-million-annual"/>
    <w:p>
      <w:pPr>
        <w:pStyle w:val="Heading2"/>
      </w:pPr>
      <w:r>
        <w:t xml:space="preserve">Budget Allocation (RM 1.2 Million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Focus Area in Malaysia Kuala Lumpur</w:t>
            </w:r>
          </w:p>
        </w:tc>
      </w:tr>
      <w:tr>
        <w:tc>
          <w:tcPr/>
          <w:p>
            <w:pPr>
              <w:pStyle w:val="Compact"/>
              <w:jc w:val="left"/>
            </w:pPr>
            <w:r>
              <w:t xml:space="preserve">Digital Advertising (Google/FB/Instagram)</w:t>
            </w:r>
          </w:p>
        </w:tc>
        <w:tc>
          <w:tcPr/>
          <w:p>
            <w:pPr>
              <w:pStyle w:val="Compact"/>
              <w:jc w:val="left"/>
            </w:pPr>
            <w:r>
              <w:t xml:space="preserve">45%</w:t>
            </w:r>
          </w:p>
        </w:tc>
        <w:tc>
          <w:tcPr/>
          <w:p>
            <w:pPr>
              <w:pStyle w:val="Compact"/>
              <w:jc w:val="left"/>
            </w:pPr>
            <w:r>
              <w:t xml:space="preserve">KL-specific geo-targeting, multilingual content creation</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Cultural event sponsorships across KL ethnic zones</w:t>
            </w:r>
          </w:p>
        </w:tc>
      </w:tr>
      <w:tr>
        <w:tc>
          <w:tcPr/>
          <w:p>
            <w:pPr>
              <w:pStyle w:val="Compact"/>
              <w:jc w:val="left"/>
            </w:pPr>
            <w:r>
              <w:t xml:space="preserve">Physician Referral Program</w:t>
            </w:r>
          </w:p>
        </w:tc>
        <w:tc>
          <w:tcPr/>
          <w:p>
            <w:pPr>
              <w:pStyle w:val="Compact"/>
              <w:jc w:val="left"/>
            </w:pPr>
            <w:r>
              <w:t xml:space="preserve">20%</w:t>
            </w:r>
          </w:p>
        </w:tc>
        <w:tc>
          <w:tcPr/>
          <w:p>
            <w:pPr>
              <w:pStyle w:val="Compact"/>
              <w:jc w:val="left"/>
            </w:pPr>
            <w:r>
              <w:t xml:space="preserve">KL hospital network partnerships</w:t>
            </w:r>
          </w:p>
        </w:tc>
      </w:tr>
      <w:tr>
        <w:tc>
          <w:tcPr/>
          <w:p>
            <w:pPr>
              <w:pStyle w:val="Compact"/>
              <w:jc w:val="left"/>
            </w:pPr>
            <w:r>
              <w:t xml:space="preserve">Content Marketing (Video/Websites)</w:t>
            </w:r>
          </w:p>
        </w:tc>
        <w:tc>
          <w:tcPr/>
          <w:p>
            <w:pPr>
              <w:pStyle w:val="Compact"/>
              <w:jc w:val="left"/>
            </w:pPr>
            <w:r>
              <w:t xml:space="preserve">10%</w:t>
            </w:r>
          </w:p>
        </w:tc>
        <w:tc>
          <w:tcPr/>
          <w:p>
            <w:pPr>
              <w:pStyle w:val="Compact"/>
              <w:jc w:val="left"/>
            </w:pPr>
            <w:r>
              <w:t xml:space="preserve">Culturally adapted educational resources</w:t>
            </w:r>
          </w:p>
        </w:tc>
      </w:tr>
    </w:tbl>
    <w:bookmarkEnd w:id="27"/>
    <w:bookmarkStart w:id="28"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Localize website with Malay/Chinese interfaces, launch community screening pilot at Masjid Negara</w:t>
      </w:r>
    </w:p>
    <w:p>
      <w:pPr>
        <w:numPr>
          <w:ilvl w:val="0"/>
          <w:numId w:val="1006"/>
        </w:numPr>
        <w:pStyle w:val="Compact"/>
      </w:pPr>
      <w:r>
        <w:rPr>
          <w:bCs/>
          <w:b/>
        </w:rPr>
        <w:t xml:space="preserve">Months 4-6:</w:t>
      </w:r>
      <w:r>
        <w:t xml:space="preserve"> </w:t>
      </w:r>
      <w:r>
        <w:t xml:space="preserve">Initiate physician referral partnerships with KL hospitals, begin social media campaigns targeting Chinese New Year period</w:t>
      </w:r>
    </w:p>
    <w:p>
      <w:pPr>
        <w:numPr>
          <w:ilvl w:val="0"/>
          <w:numId w:val="1006"/>
        </w:numPr>
        <w:pStyle w:val="Compact"/>
      </w:pPr>
      <w:r>
        <w:rPr>
          <w:bCs/>
          <w:b/>
        </w:rPr>
        <w:t xml:space="preserve">Months 7-9:</w:t>
      </w:r>
      <w:r>
        <w:t xml:space="preserve"> </w:t>
      </w:r>
      <w:r>
        <w:t xml:space="preserve">Roll out corporate wellness packages with major KL businesses, expand to Petaling Jaya community events</w:t>
      </w:r>
    </w:p>
    <w:p>
      <w:pPr>
        <w:numPr>
          <w:ilvl w:val="0"/>
          <w:numId w:val="1006"/>
        </w:numPr>
        <w:pStyle w:val="Compact"/>
      </w:pPr>
      <w:r>
        <w:rPr>
          <w:bCs/>
          <w:b/>
        </w:rPr>
        <w:t xml:space="preserve">Months 10-12:</w:t>
      </w:r>
      <w:r>
        <w:t xml:space="preserve"> </w:t>
      </w:r>
      <w:r>
        <w:t xml:space="preserve">Analyze data for Ramadan marketing campaign targeting Malay communities, prepare Malaysia Kuala Lumpur healthcare expo participation</w:t>
      </w:r>
    </w:p>
    <w:bookmarkEnd w:id="28"/>
    <w:bookmarkStart w:id="29" w:name="cultural-competency-integration"/>
    <w:p>
      <w:pPr>
        <w:pStyle w:val="Heading2"/>
      </w:pPr>
      <w:r>
        <w:t xml:space="preserve">Cultural Competency Integration</w:t>
      </w:r>
    </w:p>
    <w:p>
      <w:pPr>
        <w:pStyle w:val="FirstParagraph"/>
      </w:pPr>
      <w:r>
        <w:t xml:space="preserve">Every marketing touchpoint includes cultural adaptation:</w:t>
      </w:r>
    </w:p>
    <w:p>
      <w:pPr>
        <w:numPr>
          <w:ilvl w:val="0"/>
          <w:numId w:val="1007"/>
        </w:numPr>
        <w:pStyle w:val="Compact"/>
      </w:pPr>
      <w:r>
        <w:t xml:space="preserve">All patient communication materials include Malay proverbs about eye health ("Mata adalah jendela hati" - eyes are the window to the heart)</w:t>
      </w:r>
    </w:p>
    <w:p>
      <w:pPr>
        <w:numPr>
          <w:ilvl w:val="0"/>
          <w:numId w:val="1007"/>
        </w:numPr>
        <w:pStyle w:val="Compact"/>
      </w:pPr>
      <w:r>
        <w:t xml:space="preserve">Staff training on ethnic-specific health beliefs (e.g., avoiding certain eye treatments during Ramadan for Muslim patients)</w:t>
      </w:r>
    </w:p>
    <w:p>
      <w:pPr>
        <w:numPr>
          <w:ilvl w:val="0"/>
          <w:numId w:val="1007"/>
        </w:numPr>
        <w:pStyle w:val="Compact"/>
      </w:pPr>
      <w:r>
        <w:t xml:space="preserve">Collaboration with Malaysian Islamic Medical Association for culturally appropriate content validation</w:t>
      </w:r>
    </w:p>
    <w:bookmarkEnd w:id="29"/>
    <w:bookmarkStart w:id="30" w:name="evaluation-metrics"/>
    <w:p>
      <w:pPr>
        <w:pStyle w:val="Heading2"/>
      </w:pPr>
      <w:r>
        <w:t xml:space="preserve">Evaluation Metrics</w:t>
      </w:r>
    </w:p>
    <w:p>
      <w:pPr>
        <w:pStyle w:val="FirstParagraph"/>
      </w:pPr>
      <w:r>
        <w:t xml:space="preserve">We track KPIs specific to Malaysia Kuala Lumpur context:</w:t>
      </w:r>
    </w:p>
    <w:p>
      <w:pPr>
        <w:numPr>
          <w:ilvl w:val="0"/>
          <w:numId w:val="1008"/>
        </w:numPr>
        <w:pStyle w:val="Compact"/>
      </w:pPr>
      <w:r>
        <w:t xml:space="preserve">Patient acquisition cost (target: RM 85/patient vs industry average RM 120)</w:t>
      </w:r>
    </w:p>
    <w:p>
      <w:pPr>
        <w:numPr>
          <w:ilvl w:val="0"/>
          <w:numId w:val="1008"/>
        </w:numPr>
        <w:pStyle w:val="Compact"/>
      </w:pPr>
      <w:r>
        <w:t xml:space="preserve">Retention rate by ethnic group (target: Malay 75%, Chinese 80%, Indian 78%)</w:t>
      </w:r>
    </w:p>
    <w:p>
      <w:pPr>
        <w:numPr>
          <w:ilvl w:val="0"/>
          <w:numId w:val="1008"/>
        </w:numPr>
        <w:pStyle w:val="Compact"/>
      </w:pPr>
      <w:r>
        <w:t xml:space="preserve">Google Maps rating growth in KL (target: from current 4.3 to 4.7 within year)</w:t>
      </w:r>
    </w:p>
    <w:p>
      <w:pPr>
        <w:numPr>
          <w:ilvl w:val="0"/>
          <w:numId w:val="1008"/>
        </w:numPr>
        <w:pStyle w:val="Compact"/>
      </w:pPr>
      <w:r>
        <w:t xml:space="preserve">Social media engagement rate with Malaysian audience (target: &gt;8% across platforms)</w:t>
      </w:r>
    </w:p>
    <w:bookmarkEnd w:id="30"/>
    <w:bookmarkStart w:id="31" w:name="conclusion"/>
    <w:p>
      <w:pPr>
        <w:pStyle w:val="Heading2"/>
      </w:pPr>
      <w:r>
        <w:t xml:space="preserve">Conclusion</w:t>
      </w:r>
    </w:p>
    <w:p>
      <w:pPr>
        <w:pStyle w:val="FirstParagraph"/>
      </w:pPr>
      <w:r>
        <w:t xml:space="preserve">This Marketing Plan establishes a sustainable growth framework for the Ophthalmologist practice in Malaysia Kuala Lumpur that transcends generic healthcare marketing. By embedding cultural intelligence into every strategy—whether through language adaptation, community partnerships, or ethical engagement with Malaysia's diverse demographics—we position our Ophthalmologist as not just a medical provider, but an indispensable health partner for the people of Kuala Lumpur. The plan leverages Kuala Lumpur's unique position as Southeast Asia's medical tourism capital while addressing critical local healthcare gaps. As we implement this comprehensive Marketing Plan, we will continuously refine our approach to maintain leadership in Malaysia Kuala Lumpur's evolving ophthalmology market.</w:t>
      </w:r>
    </w:p>
    <w:p>
      <w:pPr>
        <w:pStyle w:val="BodyText"/>
      </w:pPr>
      <w:r>
        <w:rPr>
          <w:bCs/>
          <w:b/>
        </w:rPr>
        <w:t xml:space="preserve">Key Differentiation:</w:t>
      </w:r>
      <w:r>
        <w:t xml:space="preserve"> </w:t>
      </w:r>
      <w:r>
        <w:t xml:space="preserve">We are not merely offering eye care—we are delivering culturally resonant eye health solutions uniquely designed for the people of Malaysia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Malaysia Kuala Lumpur</dc:title>
  <dc:creator/>
  <dc:language>en</dc:language>
  <cp:keywords/>
  <dcterms:created xsi:type="dcterms:W3CDTF">2025-12-10T14:56:46Z</dcterms:created>
  <dcterms:modified xsi:type="dcterms:W3CDTF">2025-12-10T14:56:46Z</dcterms:modified>
</cp:coreProperties>
</file>

<file path=docProps/custom.xml><?xml version="1.0" encoding="utf-8"?>
<Properties xmlns="http://schemas.openxmlformats.org/officeDocument/2006/custom-properties" xmlns:vt="http://schemas.openxmlformats.org/officeDocument/2006/docPropsVTypes"/>
</file>