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Myanmar</w:t>
      </w:r>
      <w:r>
        <w:t xml:space="preserve"> </w:t>
      </w:r>
      <w:r>
        <w:t xml:space="preserve">Yangon</w:t>
      </w:r>
    </w:p>
    <w:bookmarkStart w:id="28" w:name="Xdfd8dfdb8b7d3b0168636a83560a0899e5992c4"/>
    <w:p>
      <w:pPr>
        <w:pStyle w:val="Heading1"/>
      </w:pPr>
      <w:r>
        <w:t xml:space="preserve">Comprehensive Marketing Plan for Ophthalmologist Practice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Yangon, Myanmar. Targeting the rapidly expanding urban population of 7 million+ residents with critical eye care needs, this plan leverages local healthcare gaps to position our Ophthalmologist as the leading provider of accessible, high-quality eye care services across Myanmar Yangon. With cataract blindness and diabetic retinopathy rates rising due to aging demographics and lifestyle shifts, this initiative addresses a severe unmet demand while prioritizing affordability and community trust.</w:t>
      </w:r>
    </w:p>
    <w:bookmarkEnd w:id="20"/>
    <w:bookmarkStart w:id="21" w:name="X2dccf879152c76d7b583cfcca3dea14197649d7"/>
    <w:p>
      <w:pPr>
        <w:pStyle w:val="Heading2"/>
      </w:pPr>
      <w:r>
        <w:t xml:space="preserve">Market Analysis: Ophthalmology Landscape in Myanmar Yangon</w:t>
      </w:r>
    </w:p>
    <w:p>
      <w:pPr>
        <w:pStyle w:val="FirstParagraph"/>
      </w:pPr>
      <w:r>
        <w:t xml:space="preserve">Yangon, Myanmar’s largest city and economic hub, faces a critical shortage of specialized eye care. According to WHO data, 1 million people in Myanmar are visually impaired, with Yangon bearing the highest concentration of cases due to dense population and limited rural-to-urban healthcare flow. Key challenges include:</w:t>
      </w:r>
    </w:p>
    <w:p>
      <w:pPr>
        <w:numPr>
          <w:ilvl w:val="0"/>
          <w:numId w:val="1001"/>
        </w:numPr>
        <w:pStyle w:val="Compact"/>
      </w:pPr>
      <w:r>
        <w:rPr>
          <w:bCs/>
          <w:b/>
        </w:rPr>
        <w:t xml:space="preserve">Supply Gap:</w:t>
      </w:r>
      <w:r>
        <w:t xml:space="preserve"> </w:t>
      </w:r>
      <w:r>
        <w:t xml:space="preserve">Only 2 ophthalmologists per 1 million people in Myanmar versus the global standard of 10+.</w:t>
      </w:r>
    </w:p>
    <w:p>
      <w:pPr>
        <w:numPr>
          <w:ilvl w:val="0"/>
          <w:numId w:val="1001"/>
        </w:numPr>
        <w:pStyle w:val="Compact"/>
      </w:pPr>
      <w:r>
        <w:rPr>
          <w:bCs/>
          <w:b/>
        </w:rPr>
        <w:t xml:space="preserve">Cultural Barriers:</w:t>
      </w:r>
      <w:r>
        <w:t xml:space="preserve"> </w:t>
      </w:r>
      <w:r>
        <w:t xml:space="preserve">Many Yangon residents delay treatment due to cost concerns or reliance on traditional remedies.</w:t>
      </w:r>
    </w:p>
    <w:p>
      <w:pPr>
        <w:numPr>
          <w:ilvl w:val="0"/>
          <w:numId w:val="1001"/>
        </w:numPr>
        <w:pStyle w:val="Compact"/>
      </w:pPr>
      <w:r>
        <w:rPr>
          <w:bCs/>
          <w:b/>
        </w:rPr>
        <w:t xml:space="preserve">Rising Demand:</w:t>
      </w:r>
      <w:r>
        <w:t xml:space="preserve"> </w:t>
      </w:r>
      <w:r>
        <w:t xml:space="preserve">Diabetes prevalence (14.9% among adults) fuels diabetic retinopathy, requiring urgent specialist intervention.</w:t>
      </w:r>
    </w:p>
    <w:p>
      <w:pPr>
        <w:pStyle w:val="FirstParagraph"/>
      </w:pPr>
      <w:r>
        <w:t xml:space="preserve">Competitors in Yangon are predominantly general clinics offering basic eye tests, lacking full-service ophthalmology capabilities. This presents a clear opportunity for our Ophthalmologist to dominate the premium segment through technology (e.g., OCT scans), patient education, and culturally attuned care.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Urban Professionals:</w:t>
      </w:r>
      <w:r>
        <w:t xml:space="preserve"> </w:t>
      </w:r>
      <w:r>
        <w:t xml:space="preserve">Ages 35–65 in Yangon’s business districts (e.g., Bogyoke Aung San Road, Dagon City) with screen-related eye strain and early cataract concerns.</w:t>
      </w:r>
    </w:p>
    <w:p>
      <w:pPr>
        <w:numPr>
          <w:ilvl w:val="0"/>
          <w:numId w:val="1002"/>
        </w:numPr>
        <w:pStyle w:val="Compact"/>
      </w:pPr>
      <w:r>
        <w:rPr>
          <w:bCs/>
          <w:b/>
        </w:rPr>
        <w:t xml:space="preserve">Elderly Population:</w:t>
      </w:r>
      <w:r>
        <w:t xml:space="preserve"> </w:t>
      </w:r>
      <w:r>
        <w:t xml:space="preserve">Over 60 years old in residential areas (e.g., Hlaing Tharyar, Kamayut), often undiagnosed for cataracts or glaucoma.</w:t>
      </w:r>
    </w:p>
    <w:p>
      <w:pPr>
        <w:numPr>
          <w:ilvl w:val="0"/>
          <w:numId w:val="1002"/>
        </w:numPr>
        <w:pStyle w:val="Compact"/>
      </w:pPr>
      <w:r>
        <w:rPr>
          <w:bCs/>
          <w:b/>
        </w:rPr>
        <w:t xml:space="preserve">High-Risk Groups:</w:t>
      </w:r>
      <w:r>
        <w:t xml:space="preserve"> </w:t>
      </w:r>
      <w:r>
        <w:t xml:space="preserve">Diabetics and hypertensive patients requiring annual retinal screenings.</w:t>
      </w:r>
    </w:p>
    <w:p>
      <w:pPr>
        <w:pStyle w:val="FirstParagraph"/>
      </w:pPr>
      <w:r>
        <w:t xml:space="preserve">Secondary audiences include employers (corporate wellness programs) and community leaders for outreach campaigns.</w:t>
      </w:r>
    </w:p>
    <w:bookmarkEnd w:id="22"/>
    <w:bookmarkStart w:id="23" w:name="marketing-objectives-year-1"/>
    <w:p>
      <w:pPr>
        <w:pStyle w:val="Heading2"/>
      </w:pPr>
      <w:r>
        <w:t xml:space="preserve">Marketing Objectives (Year 1)</w:t>
      </w:r>
    </w:p>
    <w:p>
      <w:pPr>
        <w:numPr>
          <w:ilvl w:val="0"/>
          <w:numId w:val="1003"/>
        </w:numPr>
        <w:pStyle w:val="Compact"/>
      </w:pPr>
      <w:r>
        <w:t xml:space="preserve">Acquire 300 new patients through targeted community health drives in Myanmar Yangon.</w:t>
      </w:r>
    </w:p>
    <w:p>
      <w:pPr>
        <w:numPr>
          <w:ilvl w:val="0"/>
          <w:numId w:val="1003"/>
        </w:numPr>
        <w:pStyle w:val="Compact"/>
      </w:pPr>
      <w:r>
        <w:t xml:space="preserve">Achieve 75% brand recognition among English/Myanmar-speaking professionals in Yangon within 12 months.</w:t>
      </w:r>
    </w:p>
    <w:p>
      <w:pPr>
        <w:numPr>
          <w:ilvl w:val="0"/>
          <w:numId w:val="1003"/>
        </w:numPr>
        <w:pStyle w:val="Compact"/>
      </w:pPr>
      <w:r>
        <w:t xml:space="preserve">Secure partnerships with 5+ local businesses (e.g., banks, telecoms) for employee eye care packages.</w:t>
      </w:r>
    </w:p>
    <w:p>
      <w:pPr>
        <w:numPr>
          <w:ilvl w:val="0"/>
          <w:numId w:val="1003"/>
        </w:numPr>
        <w:pStyle w:val="Compact"/>
      </w:pPr>
      <w:r>
        <w:t xml:space="preserve">Reduce patient acquisition cost by 30% through digital efficiency versus traditional methods.</w:t>
      </w:r>
    </w:p>
    <w:bookmarkEnd w:id="23"/>
    <w:bookmarkStart w:id="24" w:name="core-marketing-strategies"/>
    <w:p>
      <w:pPr>
        <w:pStyle w:val="Heading2"/>
      </w:pPr>
      <w:r>
        <w:t xml:space="preserve">Core Marketing Strategies</w:t>
      </w:r>
    </w:p>
    <w:p>
      <w:pPr>
        <w:pStyle w:val="FirstParagraph"/>
      </w:pPr>
      <w:r>
        <w:rPr>
          <w:bCs/>
          <w:b/>
        </w:rPr>
        <w:t xml:space="preserve">1. Hyper-Local Community Integration</w:t>
      </w:r>
    </w:p>
    <w:p>
      <w:pPr>
        <w:pStyle w:val="BodyText"/>
      </w:pPr>
      <w:r>
        <w:t xml:space="preserve">We will deploy mobile screening units to high-density areas like Bogyoke Market and Mingaladon, offering free basic exams (vision test, pressure check) in partnership with local temples and community centers. This builds trust—crucial in Myanmar Yangon where word-of-mouth influences 87% of healthcare choices (Per UNICEF Myanmar). Each event includes a bilingual pamphlet explaining "Why Early Ophthalmologist Care Saves Sight" in Burmese and English.</w:t>
      </w:r>
    </w:p>
    <w:p>
      <w:pPr>
        <w:pStyle w:val="BodyText"/>
      </w:pPr>
      <w:r>
        <w:rPr>
          <w:bCs/>
          <w:b/>
        </w:rPr>
        <w:t xml:space="preserve">2. Digital-First Patient Acquisition</w:t>
      </w:r>
    </w:p>
    <w:p>
      <w:pPr>
        <w:pStyle w:val="BodyText"/>
      </w:pPr>
      <w:r>
        <w:t xml:space="preserve">Leveraging Yangon’s 45% smartphone penetration, we’ll implement:</w:t>
      </w:r>
    </w:p>
    <w:p>
      <w:pPr>
        <w:numPr>
          <w:ilvl w:val="0"/>
          <w:numId w:val="1004"/>
        </w:numPr>
        <w:pStyle w:val="Compact"/>
      </w:pPr>
      <w:r>
        <w:t xml:space="preserve">A WhatsApp-based appointment system (preferred channel for 73% of Yangon residents).</w:t>
      </w:r>
    </w:p>
    <w:p>
      <w:pPr>
        <w:numPr>
          <w:ilvl w:val="0"/>
          <w:numId w:val="1004"/>
        </w:numPr>
        <w:pStyle w:val="Compact"/>
      </w:pPr>
      <w:r>
        <w:t xml:space="preserve">Facebook/Instagram ads targeting Burmese-speaking users aged 35+ in Yangon districts, highlighting "Affordable Ophthalmologist Consultations from Ks 10,000."</w:t>
      </w:r>
    </w:p>
    <w:p>
      <w:pPr>
        <w:numPr>
          <w:ilvl w:val="0"/>
          <w:numId w:val="1004"/>
        </w:numPr>
        <w:pStyle w:val="Compact"/>
      </w:pPr>
      <w:r>
        <w:t xml:space="preserve">A simple website with Google Maps integration showing clinic location near Yangon’s public transport hubs (e.g., Sule Pagoda).</w:t>
      </w:r>
    </w:p>
    <w:p>
      <w:pPr>
        <w:pStyle w:val="FirstParagraph"/>
      </w:pPr>
      <w:r>
        <w:t xml:space="preserve">Content will address myths: "No, Cataract Surgery Isn’t Dangerous" (with videos featuring local patients).</w:t>
      </w:r>
    </w:p>
    <w:p>
      <w:pPr>
        <w:pStyle w:val="BodyText"/>
      </w:pPr>
      <w:r>
        <w:rPr>
          <w:bCs/>
          <w:b/>
        </w:rPr>
        <w:t xml:space="preserve">3. Strategic Partnerships</w:t>
      </w:r>
    </w:p>
    <w:p>
      <w:pPr>
        <w:pStyle w:val="BodyText"/>
      </w:pPr>
      <w:r>
        <w:t xml:space="preserve">Collaborate with Myanmar’s Ministry of Health and NGOs like Eye Care for Myanmar for subsidized screenings. Partner with pharmacies (e.g., Aung Hla, 100+ outlets in Yangon) to distribute "Eye Health Checkup Vouchers" redeemable at our clinic. Corporate tie-ups will offer discounted eye exams to employees—critical in a city where workplace absenteeism due to poor vision costs businesses $2.1M annually (World Bank).</w:t>
      </w:r>
    </w:p>
    <w:p>
      <w:pPr>
        <w:pStyle w:val="BodyText"/>
      </w:pPr>
      <w:r>
        <w:rPr>
          <w:bCs/>
          <w:b/>
        </w:rPr>
        <w:t xml:space="preserve">4. Value-Based Pricing for Myanmar Yangon Context</w:t>
      </w:r>
    </w:p>
    <w:p>
      <w:pPr>
        <w:pStyle w:val="BodyText"/>
      </w:pPr>
      <w:r>
        <w:t xml:space="preserve">Unlike competitors charging 3× higher, our Ophthalmologist offers tiered pricing:</w:t>
      </w:r>
    </w:p>
    <w:p>
      <w:pPr>
        <w:numPr>
          <w:ilvl w:val="0"/>
          <w:numId w:val="1005"/>
        </w:numPr>
        <w:pStyle w:val="Compact"/>
      </w:pPr>
      <w:r>
        <w:rPr>
          <w:bCs/>
          <w:b/>
        </w:rPr>
        <w:t xml:space="preserve">Bronze:</w:t>
      </w:r>
      <w:r>
        <w:t xml:space="preserve"> </w:t>
      </w:r>
      <w:r>
        <w:t xml:space="preserve">Basic screening (Ks 10,000) – targeting low-income groups.</w:t>
      </w:r>
    </w:p>
    <w:p>
      <w:pPr>
        <w:numPr>
          <w:ilvl w:val="0"/>
          <w:numId w:val="1005"/>
        </w:numPr>
        <w:pStyle w:val="Compact"/>
      </w:pPr>
      <w:r>
        <w:rPr>
          <w:bCs/>
          <w:b/>
        </w:rPr>
        <w:t xml:space="preserve">Silver:</w:t>
      </w:r>
      <w:r>
        <w:t xml:space="preserve"> </w:t>
      </w:r>
      <w:r>
        <w:t xml:space="preserve">Full exam + cataract consultation (Ks 50,000).</w:t>
      </w:r>
    </w:p>
    <w:p>
      <w:pPr>
        <w:numPr>
          <w:ilvl w:val="0"/>
          <w:numId w:val="1005"/>
        </w:numPr>
        <w:pStyle w:val="Compact"/>
      </w:pPr>
      <w:r>
        <w:rPr>
          <w:bCs/>
          <w:b/>
        </w:rPr>
        <w:t xml:space="preserve">Gold:</w:t>
      </w:r>
      <w:r>
        <w:t xml:space="preserve"> </w:t>
      </w:r>
      <w:r>
        <w:t xml:space="preserve">Premium surgery package (Ks 350,000 with financing options).</w:t>
      </w:r>
    </w:p>
    <w:p>
      <w:pPr>
        <w:pStyle w:val="FirstParagraph"/>
      </w:pPr>
      <w:r>
        <w:t xml:space="preserve">All prices include transportation vouchers for patients from Yangon suburbs—a direct response to traffic-related care delays.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Focus Area in Myanmar Yangon</w:t>
      </w:r>
    </w:p>
    <w:p>
      <w:pPr>
        <w:pStyle w:val="BodyText"/>
      </w:pPr>
      <w:r>
        <w:t xml:space="preserve">Community Screenings (Mobile Unit)</w:t>
      </w:r>
    </w:p>
    <w:p>
      <w:pPr>
        <w:pStyle w:val="BodyText"/>
      </w:pPr>
      <w:r>
        <w:t xml:space="preserve">40%</w:t>
      </w:r>
    </w:p>
    <w:p>
      <w:pPr>
        <w:pStyle w:val="BodyText"/>
      </w:pPr>
      <w:r>
        <w:t xml:space="preserve">Bogyoke Market, Hlaing Tharyar, Mayangone</w:t>
      </w:r>
    </w:p>
    <w:p>
      <w:pPr>
        <w:pStyle w:val="BodyText"/>
      </w:pPr>
      <w:r>
        <w:t xml:space="preserve">Digital Ads (Facebook/WhatsApp)</w:t>
      </w:r>
    </w:p>
    <w:p>
      <w:pPr>
        <w:pStyle w:val="BodyText"/>
      </w:pPr>
      <w:r>
        <w:t xml:space="preserve">25%</w:t>
      </w:r>
    </w:p>
    <w:p>
      <w:pPr>
        <w:pStyle w:val="BodyText"/>
      </w:pPr>
      <w:r>
        <w:t xml:space="preserve">&lt;</w:t>
      </w:r>
    </w:p>
    <w:p>
      <w:pPr>
        <w:pStyle w:val="BodyText"/>
      </w:pPr>
      <w:r>
        <w:t xml:space="preserve">Yangon Urban Districts: 30+ target areas</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Corporate &amp; NGOs in Yangon</w:t>
      </w:r>
    </w:p>
    <w:p>
      <w:pPr>
        <w:pStyle w:val="BodyText"/>
      </w:pPr>
      <w:r>
        <w:t xml:space="preserve">Patient Education Materials (Burmese)</w:t>
      </w:r>
    </w:p>
    <w:p>
      <w:pPr>
        <w:pStyle w:val="BodyText"/>
      </w:pPr>
      <w:r>
        <w:t xml:space="preserve">15%</w:t>
      </w:r>
    </w:p>
    <w:p>
      <w:pPr>
        <w:pStyle w:val="BodyText"/>
      </w:pPr>
      <w:r>
        <w:t xml:space="preserve">Bilingual pamphlets, radio ads on local stations</w:t>
      </w:r>
    </w:p>
    <w:bookmarkEnd w:id="25"/>
    <w:bookmarkStart w:id="26" w:name="measuring-success"/>
    <w:p>
      <w:pPr>
        <w:pStyle w:val="Heading2"/>
      </w:pPr>
      <w:r>
        <w:t xml:space="preserve">Measuring Success</w:t>
      </w:r>
    </w:p>
    <w:p>
      <w:pPr>
        <w:pStyle w:val="FirstParagraph"/>
      </w:pPr>
      <w:r>
        <w:t xml:space="preserve">We’ll track KPIs specific to Myanmar Yangon’s market:</w:t>
      </w:r>
    </w:p>
    <w:p>
      <w:pPr>
        <w:numPr>
          <w:ilvl w:val="0"/>
          <w:numId w:val="1006"/>
        </w:numPr>
        <w:pStyle w:val="Compact"/>
      </w:pPr>
      <w:r>
        <w:t xml:space="preserve">Patient acquisition cost per visit (Target: Below Ks 3,500).</w:t>
      </w:r>
    </w:p>
    <w:p>
      <w:pPr>
        <w:numPr>
          <w:ilvl w:val="0"/>
          <w:numId w:val="1006"/>
        </w:numPr>
        <w:pStyle w:val="Compact"/>
      </w:pPr>
      <w:r>
        <w:t xml:space="preserve">Community screening conversion rate (Target: 35% to paid consultations).</w:t>
      </w:r>
    </w:p>
    <w:p>
      <w:pPr>
        <w:numPr>
          <w:ilvl w:val="0"/>
          <w:numId w:val="1006"/>
        </w:numPr>
        <w:pStyle w:val="Compact"/>
      </w:pPr>
      <w:r>
        <w:t xml:space="preserve">Social media engagement in Burmese-speaking Yangon audience.</w:t>
      </w:r>
    </w:p>
    <w:p>
      <w:pPr>
        <w:pStyle w:val="FirstParagraph"/>
      </w:pPr>
      <w:r>
        <w:t xml:space="preserve">Monthly reviews with local staff will ensure strategies adapt to Yangon’s unique dynamics—like adjusting outreach during rainy season when traffic worsens.</w:t>
      </w:r>
    </w:p>
    <w:bookmarkEnd w:id="26"/>
    <w:bookmarkStart w:id="27" w:name="X6dc4f0a93e3e1f65f8f202ae1c530621a16aa23"/>
    <w:p>
      <w:pPr>
        <w:pStyle w:val="Heading2"/>
      </w:pPr>
      <w:r>
        <w:t xml:space="preserve">Why This Marketing Plan Wins in Myanmar Yangon</w:t>
      </w:r>
    </w:p>
    <w:p>
      <w:pPr>
        <w:pStyle w:val="FirstParagraph"/>
      </w:pPr>
      <w:r>
        <w:t xml:space="preserve">This Ophthalmologist-focused strategy transcends generic healthcare marketing. By embedding services within Yangon’s cultural fabric—using local partners, vernacular communication, and solving mobility barriers—we position the practice not just as a clinic, but as a community health ally. The plan directly addresses Myanmar Yangon’s systemic gaps: 62% of rural patients travel &gt;100km for eye care (World Vision), making our urban-focused model essential. Crucially, we avoid Westernized approaches that ignore Burmese healthcare preferences—instead emphasizing dignity, affordability, and trust.</w:t>
      </w:r>
    </w:p>
    <w:p>
      <w:pPr>
        <w:pStyle w:val="BodyText"/>
      </w:pPr>
      <w:r>
        <w:t xml:space="preserve">Ultimately, this Marketing Plan is the blueprint for transforming eye care access in Myanmar Yangon. It turns the Ophthalmologist from a service provider into an indispensable pillar of community health—proven by measurable patient growth and reduced preventable blindness across Yangon’s neighborhoods. The goal isn’t just business success; it’s restoring sight for thousands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Myanmar Yangon</dc:title>
  <dc:creator/>
  <dc:language>en</dc:language>
  <cp:keywords/>
  <dcterms:created xsi:type="dcterms:W3CDTF">2026-07-21T16:00:37Z</dcterms:created>
  <dcterms:modified xsi:type="dcterms:W3CDTF">2026-07-21T16:00:37Z</dcterms:modified>
</cp:coreProperties>
</file>

<file path=docProps/custom.xml><?xml version="1.0" encoding="utf-8"?>
<Properties xmlns="http://schemas.openxmlformats.org/officeDocument/2006/custom-properties" xmlns:vt="http://schemas.openxmlformats.org/officeDocument/2006/docPropsVTypes"/>
</file>