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Auckland,</w:t>
      </w:r>
      <w:r>
        <w:t xml:space="preserve"> </w:t>
      </w:r>
      <w:r>
        <w:t xml:space="preserve">New</w:t>
      </w:r>
      <w:r>
        <w:t xml:space="preserve"> </w:t>
      </w:r>
      <w:r>
        <w:t xml:space="preserve">Zealand</w:t>
      </w:r>
    </w:p>
    <w:bookmarkStart w:id="33" w:name="Xc84c4418961977c5e1db4bda510a91a01479e58"/>
    <w:p>
      <w:pPr>
        <w:pStyle w:val="Heading1"/>
      </w:pPr>
      <w:r>
        <w:t xml:space="preserve">Comprehensive Marketing Plan for Ophthalmologist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ophthalmology practice in Auckland, New Zealand. As the leading eye care provider in the region, our focus is on delivering premium ophthalmological services while building community trust. The plan addresses critical market gaps in New Zealand Auckland where access to specialized eye care remains limited for aging populations and high-risk groups. By leveraging digital innovation and culturally sensitive patient engagement, this plan positions our Ophthalmologist practice as the preferred destination for comprehensive eye health solutions across Auckland.</w:t>
      </w:r>
    </w:p>
    <w:bookmarkEnd w:id="20"/>
    <w:bookmarkStart w:id="21" w:name="Xabd3aacb728f19c4084581faeb867275f523377"/>
    <w:p>
      <w:pPr>
        <w:pStyle w:val="Heading2"/>
      </w:pPr>
      <w:r>
        <w:t xml:space="preserve">Market Analysis: New Zealand Auckland Context</w:t>
      </w:r>
    </w:p>
    <w:p>
      <w:pPr>
        <w:pStyle w:val="FirstParagraph"/>
      </w:pPr>
      <w:r>
        <w:t xml:space="preserve">Auckland's population exceeds 1.6 million with a rapidly aging demographic (18.5% aged 65+), directly correlating to increased demand for ophthalmological services. Current statistics show Auckland has only 3 ophthalmologists per 100,000 residents – below the national average of 4.2, creating significant service gaps (Ministry of Health, NZ). Key market opportunities include:</w:t>
      </w:r>
    </w:p>
    <w:p>
      <w:pPr>
        <w:numPr>
          <w:ilvl w:val="0"/>
          <w:numId w:val="1001"/>
        </w:numPr>
        <w:pStyle w:val="Compact"/>
      </w:pPr>
      <w:r>
        <w:t xml:space="preserve">High prevalence of age-related macular degeneration (AMD) and diabetic retinopathy in Māori and Pacific Islander communities</w:t>
      </w:r>
    </w:p>
    <w:p>
      <w:pPr>
        <w:numPr>
          <w:ilvl w:val="0"/>
          <w:numId w:val="1001"/>
        </w:numPr>
        <w:pStyle w:val="Compact"/>
      </w:pPr>
      <w:r>
        <w:t xml:space="preserve">Surge in digital eye strain among tech-savvy Auckland youth (30% report symptoms)</w:t>
      </w:r>
    </w:p>
    <w:p>
      <w:pPr>
        <w:numPr>
          <w:ilvl w:val="0"/>
          <w:numId w:val="1001"/>
        </w:numPr>
        <w:pStyle w:val="Compact"/>
      </w:pPr>
      <w:r>
        <w:t xml:space="preserve">Lack of integrated eye care services combining medical, surgical, and optical solutions</w:t>
      </w:r>
    </w:p>
    <w:bookmarkEnd w:id="21"/>
    <w:bookmarkStart w:id="22" w:name="target-audience-segmentation"/>
    <w:p>
      <w:pPr>
        <w:pStyle w:val="Heading2"/>
      </w:pPr>
      <w:r>
        <w:t xml:space="preserve">Target Audience Segmentation</w:t>
      </w:r>
    </w:p>
    <w:p>
      <w:pPr>
        <w:pStyle w:val="FirstParagraph"/>
      </w:pPr>
      <w:r>
        <w:t xml:space="preserve">We will implement a three-tiered approach for New Zealand Auckland:</w:t>
      </w:r>
    </w:p>
    <w:p>
      <w:pPr>
        <w:numPr>
          <w:ilvl w:val="0"/>
          <w:numId w:val="1002"/>
        </w:numPr>
        <w:pStyle w:val="Compact"/>
      </w:pPr>
      <w:r>
        <w:t xml:space="preserve">Primary:** Seniors (65+) with chronic eye conditions, particularly Māori and Pacific Islander populations experiencing higher vision impairment rates.</w:t>
      </w:r>
    </w:p>
    <w:p>
      <w:pPr>
        <w:numPr>
          <w:ilvl w:val="0"/>
          <w:numId w:val="1002"/>
        </w:numPr>
        <w:pStyle w:val="Compact"/>
      </w:pPr>
      <w:r>
        <w:t xml:space="preserve">Secondary:** Working professionals (30-50) suffering from digital eye strain and early cataract symptoms</w:t>
      </w:r>
    </w:p>
    <w:p>
      <w:pPr>
        <w:numPr>
          <w:ilvl w:val="0"/>
          <w:numId w:val="1002"/>
        </w:numPr>
        <w:pStyle w:val="Compact"/>
      </w:pPr>
      <w:r>
        <w:t xml:space="preserve">Tertiary:** Referring GPs across Auckland's primary health networks seeking reliable ophthalmology partnerships</w:t>
      </w:r>
    </w:p>
    <w:bookmarkEnd w:id="22"/>
    <w:bookmarkStart w:id="23" w:name="X3e10ed77dc83d8109dbdd9d43829e9f99fe897d"/>
    <w:p>
      <w:pPr>
        <w:pStyle w:val="Heading2"/>
      </w:pPr>
      <w:r>
        <w:t xml:space="preserve">Marketing Objectives for New Zealand Auckland (12-Month Timeline)</w:t>
      </w:r>
    </w:p>
    <w:p>
      <w:pPr>
        <w:pStyle w:val="FirstParagraph"/>
      </w:pPr>
      <w:r>
        <w:t xml:space="preserve">By the end of Year 1, our Ophthalmologist practice will achieve:</w:t>
      </w:r>
    </w:p>
    <w:p>
      <w:pPr>
        <w:numPr>
          <w:ilvl w:val="0"/>
          <w:numId w:val="1003"/>
        </w:numPr>
        <w:pStyle w:val="Compact"/>
      </w:pPr>
      <w:r>
        <w:t xml:space="preserve">50% market penetration among elderly patients in central Auckland</w:t>
      </w:r>
    </w:p>
    <w:p>
      <w:pPr>
        <w:numPr>
          <w:ilvl w:val="0"/>
          <w:numId w:val="1003"/>
        </w:numPr>
        <w:pStyle w:val="Compact"/>
      </w:pPr>
      <w:r>
        <w:t xml:space="preserve">Serve 30% more Māori and Pacific Islander patients through culturally tailored outreach</w:t>
      </w:r>
    </w:p>
    <w:p>
      <w:pPr>
        <w:numPr>
          <w:ilvl w:val="0"/>
          <w:numId w:val="1003"/>
        </w:numPr>
        <w:pStyle w:val="Compact"/>
      </w:pPr>
      <w:r>
        <w:t xml:space="preserve">Establish referral partnerships with 25+ Auckland GP practices</w:t>
      </w:r>
    </w:p>
    <w:p>
      <w:pPr>
        <w:numPr>
          <w:ilvl w:val="0"/>
          <w:numId w:val="1003"/>
        </w:numPr>
        <w:pStyle w:val="Compact"/>
      </w:pPr>
      <w:r>
        <w:t xml:space="preserve">Achieve 4.8/5 average patient satisfaction rating on HealthEngine (NZ's top healthcare platform)</w:t>
      </w:r>
    </w:p>
    <w:bookmarkEnd w:id="23"/>
    <w:bookmarkStart w:id="28" w:name="core-marketing-strategies-and-tactics"/>
    <w:p>
      <w:pPr>
        <w:pStyle w:val="Heading2"/>
      </w:pPr>
      <w:r>
        <w:t xml:space="preserve">Core Marketing Strategies and Tactics</w:t>
      </w:r>
    </w:p>
    <w:bookmarkStart w:id="24" w:name="culturally-anchored-patient-acquisition"/>
    <w:p>
      <w:pPr>
        <w:pStyle w:val="Heading3"/>
      </w:pPr>
      <w:r>
        <w:t xml:space="preserve">1. Culturally Anchored Patient Acquisition</w:t>
      </w:r>
    </w:p>
    <w:p>
      <w:pPr>
        <w:pStyle w:val="FirstParagraph"/>
      </w:pPr>
      <w:r>
        <w:t xml:space="preserve">Developing trust within New Zealand's diverse communities is non-negotiable. We will:</w:t>
      </w:r>
    </w:p>
    <w:p>
      <w:pPr>
        <w:numPr>
          <w:ilvl w:val="0"/>
          <w:numId w:val="1004"/>
        </w:numPr>
        <w:pStyle w:val="Compact"/>
      </w:pPr>
      <w:r>
        <w:t xml:space="preserve">Create Māori Health Worker partnerships with Te Whatu Ora (Health New Zealand) for community screening events in Manukau and Papakura</w:t>
      </w:r>
    </w:p>
    <w:p>
      <w:pPr>
        <w:numPr>
          <w:ilvl w:val="0"/>
          <w:numId w:val="1004"/>
        </w:numPr>
        <w:pStyle w:val="Compact"/>
      </w:pPr>
      <w:r>
        <w:t xml:space="preserve">Launch "Vision for All" mobile clinics targeting Pacific Islander communities (Samoan, Tongan, Fijian), offering free diabetic retinopathy screenings in collaboration with local cultural centers</w:t>
      </w:r>
    </w:p>
    <w:p>
      <w:pPr>
        <w:numPr>
          <w:ilvl w:val="0"/>
          <w:numId w:val="1004"/>
        </w:numPr>
        <w:pStyle w:val="Compact"/>
      </w:pPr>
      <w:r>
        <w:t xml:space="preserve">Implement bilingual (English/Māori) digital content across all platforms</w:t>
      </w:r>
    </w:p>
    <w:bookmarkEnd w:id="24"/>
    <w:bookmarkStart w:id="25" w:name="digital-first-patient-journey"/>
    <w:p>
      <w:pPr>
        <w:pStyle w:val="Heading3"/>
      </w:pPr>
      <w:r>
        <w:t xml:space="preserve">2. Digital-First Patient Journey</w:t>
      </w:r>
    </w:p>
    <w:p>
      <w:pPr>
        <w:pStyle w:val="FirstParagraph"/>
      </w:pPr>
      <w:r>
        <w:t xml:space="preserve">Auckland's tech-forward population demands seamless digital experiences:</w:t>
      </w:r>
    </w:p>
    <w:p>
      <w:pPr>
        <w:numPr>
          <w:ilvl w:val="0"/>
          <w:numId w:val="1005"/>
        </w:numPr>
        <w:pStyle w:val="Compact"/>
      </w:pPr>
      <w:r>
        <w:t xml:space="preserve">Develop NZ-specific teleophthalmology platform for follow-ups (approved by Ministry of Health)</w:t>
      </w:r>
    </w:p>
    <w:p>
      <w:pPr>
        <w:numPr>
          <w:ilvl w:val="0"/>
          <w:numId w:val="1005"/>
        </w:numPr>
        <w:pStyle w:val="Compact"/>
      </w:pPr>
      <w:r>
        <w:t xml:space="preserve">Deploy AI-powered symptom checker on our website (e.g., "Is your dry eye serious?") with referral pathways</w:t>
      </w:r>
    </w:p>
    <w:p>
      <w:pPr>
        <w:numPr>
          <w:ilvl w:val="0"/>
          <w:numId w:val="1005"/>
        </w:numPr>
        <w:pStyle w:val="Compact"/>
      </w:pPr>
      <w:r>
        <w:t xml:space="preserve">Run targeted Facebook/Google Ads using Auckland location data (e.g., targeting residents near Auckland Eye Hospital, North Shore)</w:t>
      </w:r>
    </w:p>
    <w:bookmarkEnd w:id="25"/>
    <w:bookmarkStart w:id="26" w:name="strategic-community-partnerships"/>
    <w:p>
      <w:pPr>
        <w:pStyle w:val="Heading3"/>
      </w:pPr>
      <w:r>
        <w:t xml:space="preserve">3. Strategic Community Partnerships</w:t>
      </w:r>
    </w:p>
    <w:p>
      <w:pPr>
        <w:pStyle w:val="FirstParagraph"/>
      </w:pPr>
      <w:r>
        <w:t xml:space="preserve">Building credibility through local institutions:</w:t>
      </w:r>
    </w:p>
    <w:p>
      <w:pPr>
        <w:numPr>
          <w:ilvl w:val="0"/>
          <w:numId w:val="1006"/>
        </w:numPr>
        <w:pStyle w:val="Compact"/>
      </w:pPr>
      <w:r>
        <w:t xml:space="preserve">Partner with Auckland Council for "Healthy Vision Week" events in public libraries</w:t>
      </w:r>
    </w:p>
    <w:p>
      <w:pPr>
        <w:numPr>
          <w:ilvl w:val="0"/>
          <w:numId w:val="1006"/>
        </w:numPr>
        <w:pStyle w:val="Compact"/>
      </w:pPr>
      <w:r>
        <w:t xml:space="preserve">Collaborate with University of Auckland Medical School for resident training and research opportunities</w:t>
      </w:r>
    </w:p>
    <w:p>
      <w:pPr>
        <w:numPr>
          <w:ilvl w:val="0"/>
          <w:numId w:val="1006"/>
        </w:numPr>
        <w:pStyle w:val="Compact"/>
      </w:pPr>
      <w:r>
        <w:t xml:space="preserve">Create referral agreements with 12 major private health insurers (e.g., Southern Cross, HCF) covering premium ophthalmology services</w:t>
      </w:r>
    </w:p>
    <w:bookmarkEnd w:id="26"/>
    <w:bookmarkStart w:id="27" w:name="premium-practice-differentiation"/>
    <w:p>
      <w:pPr>
        <w:pStyle w:val="Heading3"/>
      </w:pPr>
      <w:r>
        <w:t xml:space="preserve">4. Premium Practice Differentiation</w:t>
      </w:r>
    </w:p>
    <w:p>
      <w:pPr>
        <w:pStyle w:val="FirstParagraph"/>
      </w:pPr>
      <w:r>
        <w:t xml:space="preserve">Standing out in New Zealand Auckland's competitive landscape:</w:t>
      </w:r>
    </w:p>
    <w:p>
      <w:pPr>
        <w:numPr>
          <w:ilvl w:val="0"/>
          <w:numId w:val="1007"/>
        </w:numPr>
        <w:pStyle w:val="Compact"/>
      </w:pPr>
      <w:r>
        <w:t xml:space="preserve">Offer comprehensive "Eye Health Passport" – a personalized digital record of all eye health metrics (unique in NZ market)</w:t>
      </w:r>
    </w:p>
    <w:p>
      <w:pPr>
        <w:numPr>
          <w:ilvl w:val="0"/>
          <w:numId w:val="1007"/>
        </w:numPr>
        <w:pStyle w:val="Compact"/>
      </w:pPr>
      <w:r>
        <w:t xml:space="preserve">Pioneer AI-driven glaucoma risk assessment using local demographic data</w:t>
      </w:r>
    </w:p>
    <w:p>
      <w:pPr>
        <w:numPr>
          <w:ilvl w:val="0"/>
          <w:numId w:val="1007"/>
        </w:numPr>
        <w:pStyle w:val="Compact"/>
      </w:pPr>
      <w:r>
        <w:t xml:space="preserve">Provide same-day appointments for urgent cases – critical for rural Auckland patients traveling from Waitakere or Manukau</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Outreach &amp; Events</w:t>
      </w:r>
    </w:p>
    <w:p>
      <w:pPr>
        <w:pStyle w:val="BodyText"/>
      </w:pPr>
      <w:r>
        <w:t xml:space="preserve">$45,000</w:t>
      </w:r>
    </w:p>
    <w:p>
      <w:pPr>
        <w:pStyle w:val="BodyText"/>
      </w:pPr>
      <w:r>
        <w:t xml:space="preserve">Māori/Pacific Islander community engagement essential for Auckland's demographic reality (32% of Auckland population is Māori or Pacific)</w:t>
      </w:r>
    </w:p>
    <w:p>
      <w:pPr>
        <w:pStyle w:val="BodyText"/>
      </w:pPr>
      <w:r>
        <w:t xml:space="preserve">Digital Marketing</w:t>
      </w:r>
    </w:p>
    <w:p>
      <w:pPr>
        <w:pStyle w:val="BodyText"/>
      </w:pPr>
      <w:r>
        <w:t xml:space="preserve">$65,000</w:t>
      </w:r>
    </w:p>
    <w:p>
      <w:pPr>
        <w:pStyle w:val="BodyText"/>
      </w:pPr>
      <w:r>
        <w:t xml:space="preserve">Targeted online acquisition with 75% focus on local Auckland keywords and geo-fencing</w:t>
      </w:r>
    </w:p>
    <w:p>
      <w:pPr>
        <w:pStyle w:val="BodyText"/>
      </w:pPr>
      <w:r>
        <w:t xml:space="preserve">Community Partnerships</w:t>
      </w:r>
    </w:p>
    <w:p>
      <w:pPr>
        <w:pStyle w:val="BodyText"/>
      </w:pPr>
      <w:r>
        <w:t xml:space="preserve">$30,000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Te Whatu Ora partnerships, launch bilingual website content, deploy AI symptom checker</w:t>
      </w:r>
      <w:r>
        <w:br/>
      </w:r>
      <w:r>
        <w:rPr>
          <w:bCs/>
          <w:b/>
        </w:rPr>
        <w:t xml:space="preserve">Months 4-6:</w:t>
      </w:r>
      <w:r>
        <w:t xml:space="preserve"> </w:t>
      </w:r>
      <w:r>
        <w:t xml:space="preserve">Roll out mobile clinics in Manukau and South Auckland; secure first 10 GP referral agreements</w:t>
      </w:r>
      <w:r>
        <w:br/>
      </w:r>
      <w:r>
        <w:rPr>
          <w:bCs/>
          <w:b/>
        </w:rPr>
        <w:t xml:space="preserve">Months 7-9:</w:t>
      </w:r>
      <w:r>
        <w:t xml:space="preserve"> </w:t>
      </w:r>
      <w:r>
        <w:t xml:space="preserve">Launch "Eye Health Passport" digital platform; host inaugural Auckland Vision Summit</w:t>
      </w:r>
      <w:r>
        <w:br/>
      </w:r>
      <w:r>
        <w:rPr>
          <w:bCs/>
          <w:b/>
        </w:rPr>
        <w:t xml:space="preserve">Months 10-12:</w:t>
      </w:r>
      <w:r>
        <w:t xml:space="preserve"> </w:t>
      </w:r>
      <w:r>
        <w:t xml:space="preserve">Achieve target Māori patient ratio (30%); implement AI glaucoma risk tool using NZ population data</w:t>
      </w:r>
    </w:p>
    <w:bookmarkEnd w:id="30"/>
    <w:bookmarkStart w:id="31" w:name="measurement-evaluation"/>
    <w:p>
      <w:pPr>
        <w:pStyle w:val="Heading2"/>
      </w:pPr>
      <w:r>
        <w:t xml:space="preserve">Measurement &amp; Evaluation</w:t>
      </w:r>
    </w:p>
    <w:p>
      <w:pPr>
        <w:pStyle w:val="FirstParagraph"/>
      </w:pPr>
      <w:r>
        <w:t xml:space="preserve">We will track KPIs specific to the New Zealand Auckland context:</w:t>
      </w:r>
    </w:p>
    <w:p>
      <w:pPr>
        <w:numPr>
          <w:ilvl w:val="0"/>
          <w:numId w:val="1008"/>
        </w:numPr>
        <w:pStyle w:val="Compact"/>
      </w:pPr>
      <w:r>
        <w:rPr>
          <w:bCs/>
          <w:b/>
        </w:rPr>
        <w:t xml:space="preserve">Community Impact:</w:t>
      </w:r>
      <w:r>
        <w:t xml:space="preserve"> </w:t>
      </w:r>
      <w:r>
        <w:t xml:space="preserve">Number of Māori/Pacific Islander patients served (vs. baseline)</w:t>
      </w:r>
    </w:p>
    <w:p>
      <w:pPr>
        <w:numPr>
          <w:ilvl w:val="0"/>
          <w:numId w:val="1008"/>
        </w:numPr>
        <w:pStyle w:val="Compact"/>
      </w:pPr>
      <w:r>
        <w:rPr>
          <w:bCs/>
          <w:b/>
        </w:rPr>
        <w:t xml:space="preserve">Clinical Success:</w:t>
      </w:r>
      <w:r>
        <w:t xml:space="preserve"> </w:t>
      </w:r>
      <w:r>
        <w:t xml:space="preserve">Reduction in diabetic retinopathy progression rates among screened patients</w:t>
      </w:r>
    </w:p>
    <w:p>
      <w:pPr>
        <w:numPr>
          <w:ilvl w:val="0"/>
          <w:numId w:val="1008"/>
        </w:numPr>
        <w:pStyle w:val="Compact"/>
      </w:pPr>
      <w:r>
        <w:rPr>
          <w:bCs/>
          <w:b/>
        </w:rPr>
        <w:t xml:space="preserve">Business Growth:</w:t>
      </w:r>
      <w:r>
        <w:t xml:space="preserve"> </w:t>
      </w:r>
      <w:r>
        <w:t xml:space="preserve">Month-on-month referral rate from Auckland GPs (target: 25% increase)</w:t>
      </w:r>
    </w:p>
    <w:p>
      <w:pPr>
        <w:numPr>
          <w:ilvl w:val="0"/>
          <w:numId w:val="1008"/>
        </w:numPr>
        <w:pStyle w:val="Compact"/>
      </w:pPr>
      <w:r>
        <w:rPr>
          <w:bCs/>
          <w:b/>
        </w:rPr>
        <w:t xml:space="preserve">Satisfaction Metrics:</w:t>
      </w:r>
      <w:r>
        <w:t xml:space="preserve"> </w:t>
      </w:r>
      <w:r>
        <w:t xml:space="preserve">Patient experience scores on HealthEngine and NZ-specific platforms like "HealthTap"</w:t>
      </w:r>
    </w:p>
    <w:bookmarkEnd w:id="31"/>
    <w:bookmarkStart w:id="32" w:name="Xce9a2c8e268b91d113ba29cf05c0c5f0766b0a7"/>
    <w:p>
      <w:pPr>
        <w:pStyle w:val="Heading2"/>
      </w:pPr>
      <w:r>
        <w:t xml:space="preserve">Conclusion: Future-Proofing Ophthalmology in New Zealand Auckland</w:t>
      </w:r>
    </w:p>
    <w:p>
      <w:pPr>
        <w:pStyle w:val="FirstParagraph"/>
      </w:pPr>
      <w:r>
        <w:t xml:space="preserve">This Marketing Plan positions our Ophthalmologist practice as the definitive solution for eye health challenges in Auckland. By embedding cultural competency, technological innovation, and community partnership at its core – specifically addressing gaps unique to New Zealand's largest city – we will transform how eye care is delivered across the region. Unlike generic marketing approaches, this plan actively responds to Auckland's demographic realities where 1 in 4 residents face vision-related challenges by age 75. The success of our Marketing Plan directly translates into reduced vision impairment rates across diverse Auckland communities while establishing a sustainable business model for New Zealand's evolving healthcare landscape.</w:t>
      </w:r>
    </w:p>
    <w:p>
      <w:pPr>
        <w:pStyle w:val="BodyText"/>
      </w:pPr>
      <w:r>
        <w:rPr>
          <w:bCs/>
          <w:b/>
        </w:rPr>
        <w:t xml:space="preserve">Final Note:</w:t>
      </w:r>
      <w:r>
        <w:t xml:space="preserve"> </w:t>
      </w:r>
      <w:r>
        <w:t xml:space="preserve">This document represents an actionable roadmap for the Ophthalmologist practice to dominate eye care in New Zealand Auckland within 18 months, creating measurable health outcomes alongside commercial success. Every initiative is designed with Auckland's unique population dynamics and Ministry of Health priorities in mind.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Auckland, New Zealand</dc:title>
  <dc:creator/>
  <dc:language>en</dc:language>
  <cp:keywords/>
  <dcterms:created xsi:type="dcterms:W3CDTF">2025-12-10T12:53:01Z</dcterms:created>
  <dcterms:modified xsi:type="dcterms:W3CDTF">2025-12-10T12:53:01Z</dcterms:modified>
</cp:coreProperties>
</file>

<file path=docProps/custom.xml><?xml version="1.0" encoding="utf-8"?>
<Properties xmlns="http://schemas.openxmlformats.org/officeDocument/2006/custom-properties" xmlns:vt="http://schemas.openxmlformats.org/officeDocument/2006/docPropsVTypes"/>
</file>