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ddcb6746a7aa4d1158eaab43f82f5350d2442c8"/>
    <w:p>
      <w:pPr>
        <w:pStyle w:val="Heading1"/>
      </w:pPr>
      <w:r>
        <w:t xml:space="preserve">Comprehensive Marketing Plan: Establishing Premier Ophthalmologist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growing a high-quality ophthalmology practice within the vibrant healthcare ecosystem of Nigeria Abuja. Targeting the critical unmet demand for specialized eye care, this plan positions our certified ophthalmologist as the trusted leader in comprehensive eye health services across Abuja and surrounding regions. With rising prevalence of diabetic retinopathy, cataracts, and age-related macular degeneration in Nigeria's capital city, this initiative addresses a vital public health need while building a sustainable medical practice anchored in Abuja's community.</w:t>
      </w:r>
    </w:p>
    <w:bookmarkEnd w:id="20"/>
    <w:bookmarkStart w:id="21" w:name="Xe161720b1e01a9470c86a31a6b15ef258c0f4c7"/>
    <w:p>
      <w:pPr>
        <w:pStyle w:val="Heading2"/>
      </w:pPr>
      <w:r>
        <w:t xml:space="preserve">Market Analysis: Eye Health Landscape in Nigeria Abuja</w:t>
      </w:r>
    </w:p>
    <w:p>
      <w:pPr>
        <w:pStyle w:val="FirstParagraph"/>
      </w:pPr>
      <w:r>
        <w:t xml:space="preserve">Nigeria Abuja presents a compelling market for specialized ophthalmologist services. Despite being the nation's capital, access to advanced eye care remains fragmented. The Federal Ministry of Health reports that cataracts account for approximately 50% of blindness cases in Nigeria, with significant undertreatment in urban centers due to clinic overcrowding and limited specialist availability. Abuja's rapidly expanding population (over 4 million residents) includes a large aging demographic and growing middle-class families increasingly prioritizing preventive eye care. However, current ophthalmology services often lack modern diagnostic equipment (like OCT scanners), comprehensive pediatric eye care, and culturally sensitive patient communication – key gaps our practice will address. Competitor analysis reveals most facilities focus solely on cataract surgery, neglecting broader services like glaucoma management and diabetic retinal screening, creating a clear market opportunity for a full-spectrum ophthalmologist in Nigeria Abuja.</w:t>
      </w:r>
    </w:p>
    <w:bookmarkEnd w:id="21"/>
    <w:bookmarkStart w:id="22" w:name="target-audience-positioning"/>
    <w:p>
      <w:pPr>
        <w:pStyle w:val="Heading2"/>
      </w:pPr>
      <w:r>
        <w:t xml:space="preserve">Target Audience &amp; Positioning</w:t>
      </w:r>
    </w:p>
    <w:p>
      <w:pPr>
        <w:pStyle w:val="FirstParagraph"/>
      </w:pPr>
      <w:r>
        <w:t xml:space="preserve">Our primary target audience includes:</w:t>
      </w:r>
    </w:p>
    <w:p>
      <w:pPr>
        <w:numPr>
          <w:ilvl w:val="0"/>
          <w:numId w:val="1001"/>
        </w:numPr>
        <w:pStyle w:val="Compact"/>
      </w:pPr>
      <w:r>
        <w:rPr>
          <w:bCs/>
          <w:b/>
        </w:rPr>
        <w:t xml:space="preserve">Residents of Abuja Municipal Area Council (AMAC) and satellite cities:</w:t>
      </w:r>
      <w:r>
        <w:t xml:space="preserve"> </w:t>
      </w:r>
      <w:r>
        <w:t xml:space="preserve">Affluent professionals, government workers, and families seeking premium care.</w:t>
      </w:r>
    </w:p>
    <w:p>
      <w:pPr>
        <w:numPr>
          <w:ilvl w:val="0"/>
          <w:numId w:val="1001"/>
        </w:numPr>
        <w:pStyle w:val="Compact"/>
      </w:pPr>
      <w:r>
        <w:rPr>
          <w:bCs/>
          <w:b/>
        </w:rPr>
        <w:t xml:space="preserve">Patient referrals from primary healthcare centers:</w:t>
      </w:r>
      <w:r>
        <w:t xml:space="preserve"> </w:t>
      </w:r>
      <w:r>
        <w:t xml:space="preserve">Partnering with clinics across Gwagwalada, Kuje, and Jabi to capture referred cases.</w:t>
      </w:r>
    </w:p>
    <w:p>
      <w:pPr>
        <w:numPr>
          <w:ilvl w:val="0"/>
          <w:numId w:val="1001"/>
        </w:numPr>
        <w:pStyle w:val="Compact"/>
      </w:pPr>
      <w:r>
        <w:rPr>
          <w:bCs/>
          <w:b/>
        </w:rPr>
        <w:t xml:space="preserve">Diaspora Nigerians:</w:t>
      </w:r>
      <w:r>
        <w:t xml:space="preserve"> </w:t>
      </w:r>
      <w:r>
        <w:t xml:space="preserve">Seeking high-standard medical care during visits home.</w:t>
      </w:r>
    </w:p>
    <w:p>
      <w:pPr>
        <w:pStyle w:val="FirstParagraph"/>
      </w:pPr>
      <w:r>
        <w:t xml:space="preserve">We position our ophthalmologist as the "Comprehensive Eye Health Partner for Abuja Families" – emphasizing not just surgical expertise but preventive care, advanced diagnostics, and compassionate, accessible service tailored to Nigerian cultural contexts. This distinguishes us from purely surgical-focused competitors and aligns with Nigeria's National Eye Health Policy goals.</w:t>
      </w:r>
    </w:p>
    <w:bookmarkEnd w:id="22"/>
    <w:bookmarkStart w:id="27" w:name="marketing-mix-4ps"/>
    <w:p>
      <w:pPr>
        <w:pStyle w:val="Heading2"/>
      </w:pPr>
      <w:r>
        <w:t xml:space="preserve">Marketing Mix (4Ps)</w:t>
      </w:r>
    </w:p>
    <w:bookmarkStart w:id="23" w:name="product"/>
    <w:p>
      <w:pPr>
        <w:pStyle w:val="Heading3"/>
      </w:pPr>
      <w:r>
        <w:t xml:space="preserve">Product</w:t>
      </w:r>
    </w:p>
    <w:p>
      <w:pPr>
        <w:pStyle w:val="FirstParagraph"/>
      </w:pPr>
      <w:r>
        <w:t xml:space="preserve">The core offering includes:</w:t>
      </w:r>
    </w:p>
    <w:p>
      <w:pPr>
        <w:numPr>
          <w:ilvl w:val="0"/>
          <w:numId w:val="1002"/>
        </w:numPr>
        <w:pStyle w:val="Compact"/>
      </w:pPr>
      <w:r>
        <w:t xml:space="preserve">Cataract surgery (phacoemulsification with premium IOLs)</w:t>
      </w:r>
    </w:p>
    <w:p>
      <w:pPr>
        <w:numPr>
          <w:ilvl w:val="0"/>
          <w:numId w:val="1002"/>
        </w:numPr>
        <w:pStyle w:val="Compact"/>
      </w:pPr>
      <w:r>
        <w:t xml:space="preserve">Glaucoma management &amp; laser therapy</w:t>
      </w:r>
    </w:p>
    <w:p>
      <w:pPr>
        <w:numPr>
          <w:ilvl w:val="0"/>
          <w:numId w:val="1002"/>
        </w:numPr>
        <w:pStyle w:val="Compact"/>
      </w:pPr>
      <w:r>
        <w:t xml:space="preserve">Diabetic retinopathy screening and treatment (vital for Nigeria's rising diabetes rates)</w:t>
      </w:r>
    </w:p>
    <w:p>
      <w:pPr>
        <w:numPr>
          <w:ilvl w:val="0"/>
          <w:numId w:val="1002"/>
        </w:numPr>
        <w:pStyle w:val="Compact"/>
      </w:pPr>
      <w:r>
        <w:t xml:space="preserve">Pediatric ophthalmology services</w:t>
      </w:r>
    </w:p>
    <w:p>
      <w:pPr>
        <w:numPr>
          <w:ilvl w:val="0"/>
          <w:numId w:val="1002"/>
        </w:numPr>
        <w:pStyle w:val="Compact"/>
      </w:pPr>
      <w:r>
        <w:t xml:space="preserve">Comprehensive eye exams with state-of-the-art imaging</w:t>
      </w:r>
    </w:p>
    <w:bookmarkEnd w:id="23"/>
    <w:bookmarkStart w:id="24" w:name="pricing-strategy"/>
    <w:p>
      <w:pPr>
        <w:pStyle w:val="Heading3"/>
      </w:pPr>
      <w:r>
        <w:t xml:space="preserve">Pricing Strategy</w:t>
      </w:r>
    </w:p>
    <w:p>
      <w:pPr>
        <w:pStyle w:val="FirstParagraph"/>
      </w:pPr>
      <w:r>
        <w:t xml:space="preserve">A tiered pricing model ensures accessibility:</w:t>
      </w:r>
    </w:p>
    <w:p>
      <w:pPr>
        <w:numPr>
          <w:ilvl w:val="0"/>
          <w:numId w:val="1003"/>
        </w:numPr>
        <w:pStyle w:val="Compact"/>
      </w:pPr>
      <w:r>
        <w:rPr>
          <w:bCs/>
          <w:b/>
        </w:rPr>
        <w:t xml:space="preserve">Standard Services:</w:t>
      </w:r>
      <w:r>
        <w:t xml:space="preserve"> </w:t>
      </w:r>
      <w:r>
        <w:t xml:space="preserve">Competitive rates for cataract surgery (starting at ₦150,000) – 20% below Abuja average for comparable quality.</w:t>
      </w:r>
    </w:p>
    <w:p>
      <w:pPr>
        <w:numPr>
          <w:ilvl w:val="0"/>
          <w:numId w:val="1003"/>
        </w:numPr>
        <w:pStyle w:val="Compact"/>
      </w:pPr>
      <w:r>
        <w:rPr>
          <w:bCs/>
          <w:b/>
        </w:rPr>
        <w:t xml:space="preserve">Government/NGO Partnerships:</w:t>
      </w:r>
      <w:r>
        <w:t xml:space="preserve"> </w:t>
      </w:r>
      <w:r>
        <w:t xml:space="preserve">Bulk discount agreements with Abuja State Ministry of Health for community screening programs.</w:t>
      </w:r>
    </w:p>
    <w:p>
      <w:pPr>
        <w:numPr>
          <w:ilvl w:val="0"/>
          <w:numId w:val="1003"/>
        </w:numPr>
        <w:pStyle w:val="Compact"/>
      </w:pPr>
      <w:r>
        <w:rPr>
          <w:bCs/>
          <w:b/>
        </w:rPr>
        <w:t xml:space="preserve">Insurance Collaborations:</w:t>
      </w:r>
      <w:r>
        <w:t xml:space="preserve"> </w:t>
      </w:r>
      <w:r>
        <w:t xml:space="preserve">Onboarding major Nigerian insurers (e.g., Maxicare, Leadway) to cover 70% of costs for subscribers.</w:t>
      </w:r>
    </w:p>
    <w:bookmarkEnd w:id="24"/>
    <w:bookmarkStart w:id="25" w:name="promotion"/>
    <w:p>
      <w:pPr>
        <w:pStyle w:val="Heading3"/>
      </w:pPr>
      <w:r>
        <w:t xml:space="preserve">Promotion</w:t>
      </w:r>
    </w:p>
    <w:p>
      <w:pPr>
        <w:pStyle w:val="FirstParagraph"/>
      </w:pPr>
      <w:r>
        <w:t xml:space="preserve">Our promotional strategy leverages hyper-localized channels:</w:t>
      </w:r>
    </w:p>
    <w:p>
      <w:pPr>
        <w:numPr>
          <w:ilvl w:val="0"/>
          <w:numId w:val="1004"/>
        </w:numPr>
        <w:pStyle w:val="Compact"/>
      </w:pPr>
      <w:r>
        <w:rPr>
          <w:bCs/>
          <w:b/>
        </w:rPr>
        <w:t xml:space="preserve">Community Outreach:</w:t>
      </w:r>
      <w:r>
        <w:t xml:space="preserve"> </w:t>
      </w:r>
      <w:r>
        <w:t xml:space="preserve">Quarterly free eye screenings at Abuja markets (e.g., Central Market, Garki) and community centers in Asokoro and Wuse 2.</w:t>
      </w:r>
    </w:p>
    <w:p>
      <w:pPr>
        <w:numPr>
          <w:ilvl w:val="0"/>
          <w:numId w:val="1004"/>
        </w:numPr>
        <w:pStyle w:val="Compact"/>
      </w:pPr>
      <w:r>
        <w:rPr>
          <w:bCs/>
          <w:b/>
        </w:rPr>
        <w:t xml:space="preserve">Digital Marketing:</w:t>
      </w:r>
      <w:r>
        <w:t xml:space="preserve"> </w:t>
      </w:r>
      <w:r>
        <w:t xml:space="preserve">Targeted Facebook/Instagram ads focusing on Abuja neighborhoods; SEO-optimized website highlighting "Ophthalmologist Near Me" keywords.</w:t>
      </w:r>
    </w:p>
    <w:p>
      <w:pPr>
        <w:numPr>
          <w:ilvl w:val="0"/>
          <w:numId w:val="1004"/>
        </w:numPr>
        <w:pStyle w:val="Compact"/>
      </w:pPr>
      <w:r>
        <w:rPr>
          <w:bCs/>
          <w:b/>
        </w:rPr>
        <w:t xml:space="preserve">Strategic Partnerships:</w:t>
      </w:r>
      <w:r>
        <w:t xml:space="preserve"> </w:t>
      </w:r>
      <w:r>
        <w:t xml:space="preserve">Formal agreements with Lagos-based medical tourism agencies to attract diaspora patients.</w:t>
      </w:r>
    </w:p>
    <w:p>
      <w:pPr>
        <w:numPr>
          <w:ilvl w:val="0"/>
          <w:numId w:val="1004"/>
        </w:numPr>
        <w:pStyle w:val="Compact"/>
      </w:pPr>
      <w:r>
        <w:rPr>
          <w:bCs/>
          <w:b/>
        </w:rPr>
        <w:t xml:space="preserve">Influencer Collaborations:</w:t>
      </w:r>
      <w:r>
        <w:t xml:space="preserve"> </w:t>
      </w:r>
      <w:r>
        <w:t xml:space="preserve">Partnering with trusted Abuja-based health influencers for educational content on eye disease prevention.</w:t>
      </w:r>
    </w:p>
    <w:bookmarkEnd w:id="25"/>
    <w:bookmarkStart w:id="26" w:name="place-distribution"/>
    <w:p>
      <w:pPr>
        <w:pStyle w:val="Heading3"/>
      </w:pPr>
      <w:r>
        <w:t xml:space="preserve">Place (Distribution)</w:t>
      </w:r>
    </w:p>
    <w:p>
      <w:pPr>
        <w:pStyle w:val="FirstParagraph"/>
      </w:pPr>
      <w:r>
        <w:t xml:space="preserve">Our practice will operate from a newly established facility in a high-traffic Abuja district (e.g., Jabi or Central Business District), ensuring easy access via major roads and proximity to public transport hubs. We'll implement telemedicine consultations for remote Abuja suburbs (e.g., Kuje, Bwari) to overcome geographical barriers, aligning with Nigeria's digital health strategy.</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Secure clinic location in Abuja; deploy digital marketing assets; initiate partnerships with 5 primary healthcare centers in AMAC.</w:t>
      </w:r>
    </w:p>
    <w:p>
      <w:pPr>
        <w:pStyle w:val="BodyText"/>
      </w:pPr>
      <w:r>
        <w:rPr>
          <w:bCs/>
          <w:b/>
        </w:rPr>
        <w:t xml:space="preserve">Months 4-6:</w:t>
      </w:r>
      <w:r>
        <w:t xml:space="preserve"> </w:t>
      </w:r>
      <w:r>
        <w:t xml:space="preserve">Launch community screening program; onboard first insurance provider; host inaugural "Abuja Eye Health Awareness Day" at the clinic.</w:t>
      </w:r>
    </w:p>
    <w:p>
      <w:pPr>
        <w:pStyle w:val="BodyText"/>
      </w:pPr>
      <w:r>
        <w:rPr>
          <w:bCs/>
          <w:b/>
        </w:rPr>
        <w:t xml:space="preserve">Months 7-12:</w:t>
      </w:r>
      <w:r>
        <w:t xml:space="preserve"> </w:t>
      </w:r>
      <w:r>
        <w:t xml:space="preserve">Expand to pediatric services; secure government partnership for diabetic retinopathy screening in public clinics across Abuja.</w:t>
      </w:r>
    </w:p>
    <w:bookmarkEnd w:id="28"/>
    <w:bookmarkStart w:id="29" w:name="budget-allocation-year-1"/>
    <w:p>
      <w:pPr>
        <w:pStyle w:val="Heading2"/>
      </w:pPr>
      <w:r>
        <w:t xml:space="preserve">Budget Allocation (Year 1)</w:t>
      </w:r>
    </w:p>
    <w:p>
      <w:pPr>
        <w:pStyle w:val="FirstParagraph"/>
      </w:pPr>
      <w:r>
        <w:t xml:space="preserve">Total Budget: ₦5.8 million</w:t>
      </w:r>
    </w:p>
    <w:p>
      <w:pPr>
        <w:numPr>
          <w:ilvl w:val="0"/>
          <w:numId w:val="1005"/>
        </w:numPr>
        <w:pStyle w:val="Compact"/>
      </w:pPr>
      <w:r>
        <w:t xml:space="preserve">Digital Marketing: ₦1.5 million (social media, SEO, targeted ads)</w:t>
      </w:r>
    </w:p>
    <w:p>
      <w:pPr>
        <w:numPr>
          <w:ilvl w:val="0"/>
          <w:numId w:val="1005"/>
        </w:numPr>
        <w:pStyle w:val="Compact"/>
      </w:pPr>
      <w:r>
        <w:t xml:space="preserve">Community Outreach &amp; Screening Events: ₦1.2 million</w:t>
      </w:r>
    </w:p>
    <w:p>
      <w:pPr>
        <w:numPr>
          <w:ilvl w:val="0"/>
          <w:numId w:val="1005"/>
        </w:numPr>
        <w:pStyle w:val="Compact"/>
      </w:pPr>
      <w:r>
        <w:t xml:space="preserve">Partnership Development (Health Ministry/Insurers): ₦800,000</w:t>
      </w:r>
    </w:p>
    <w:p>
      <w:pPr>
        <w:numPr>
          <w:ilvl w:val="0"/>
          <w:numId w:val="1005"/>
        </w:numPr>
        <w:pStyle w:val="Compact"/>
      </w:pPr>
      <w:r>
        <w:t xml:space="preserve">Clinic Setup &amp; Diagnostic Equipment: ₦2.3 million</w:t>
      </w:r>
    </w:p>
    <w:bookmarkEnd w:id="29"/>
    <w:bookmarkStart w:id="30" w:name="key-performance-indicators-kpis"/>
    <w:p>
      <w:pPr>
        <w:pStyle w:val="Heading2"/>
      </w:pPr>
      <w:r>
        <w:t xml:space="preserve">Key Performance Indicators (KPIs)</w:t>
      </w:r>
    </w:p>
    <w:p>
      <w:pPr>
        <w:pStyle w:val="FirstParagraph"/>
      </w:pPr>
      <w:r>
        <w:t xml:space="preserve">Success will be measured through:</w:t>
      </w:r>
    </w:p>
    <w:p>
      <w:pPr>
        <w:numPr>
          <w:ilvl w:val="0"/>
          <w:numId w:val="1006"/>
        </w:numPr>
        <w:pStyle w:val="Compact"/>
      </w:pPr>
      <w:r>
        <w:rPr>
          <w:bCs/>
          <w:b/>
        </w:rPr>
        <w:t xml:space="preserve">Patient Acquisition:</w:t>
      </w:r>
      <w:r>
        <w:t xml:space="preserve"> </w:t>
      </w:r>
      <w:r>
        <w:t xml:space="preserve">150 new patients/month by Month 6.</w:t>
      </w:r>
    </w:p>
    <w:p>
      <w:pPr>
        <w:numPr>
          <w:ilvl w:val="0"/>
          <w:numId w:val="1006"/>
        </w:numPr>
        <w:pStyle w:val="Compact"/>
      </w:pPr>
      <w:r>
        <w:rPr>
          <w:bCs/>
          <w:b/>
        </w:rPr>
        <w:t xml:space="preserve">Community Impact:</w:t>
      </w:r>
      <w:r>
        <w:t xml:space="preserve"> </w:t>
      </w:r>
      <w:r>
        <w:t xml:space="preserve">Screen 5,000+ Abuja residents in Year 1 via outreach.</w:t>
      </w:r>
    </w:p>
    <w:p>
      <w:pPr>
        <w:numPr>
          <w:ilvl w:val="0"/>
          <w:numId w:val="1006"/>
        </w:numPr>
        <w:pStyle w:val="Compact"/>
      </w:pPr>
      <w:r>
        <w:rPr>
          <w:bCs/>
          <w:b/>
        </w:rPr>
        <w:t xml:space="preserve">Satisfaction:</w:t>
      </w:r>
      <w:r>
        <w:t xml:space="preserve"> </w:t>
      </w:r>
      <w:r>
        <w:t xml:space="preserve">Maintain &gt;92% patient satisfaction (measured via post-visit SMS surveys).</w:t>
      </w:r>
    </w:p>
    <w:p>
      <w:pPr>
        <w:numPr>
          <w:ilvl w:val="0"/>
          <w:numId w:val="1006"/>
        </w:numPr>
        <w:pStyle w:val="Compact"/>
      </w:pPr>
      <w:r>
        <w:rPr>
          <w:bCs/>
          <w:b/>
        </w:rPr>
        <w:t xml:space="preserve">Clinical Outcomes:</w:t>
      </w:r>
      <w:r>
        <w:t xml:space="preserve"> </w:t>
      </w:r>
      <w:r>
        <w:t xml:space="preserve">Achieve &lt;5% complication rate in cataract surgeries (exceeding national average).</w:t>
      </w:r>
    </w:p>
    <w:bookmarkEnd w:id="30"/>
    <w:bookmarkStart w:id="31" w:name="X8dcf72519a870321b9585cf329fd8463c26bd86"/>
    <w:p>
      <w:pPr>
        <w:pStyle w:val="Heading2"/>
      </w:pPr>
      <w:r>
        <w:t xml:space="preserve">Conclusion: Driving Eye Health Transformation in Nigeria Abuja</w:t>
      </w:r>
    </w:p>
    <w:p>
      <w:pPr>
        <w:pStyle w:val="FirstParagraph"/>
      </w:pPr>
      <w:r>
        <w:t xml:space="preserve">This Marketing Plan strategically positions our ophthalmologist as the cornerstone of accessible, advanced eye care within Nigeria Abuja. By directly addressing the city's unmet needs through culturally resonant services, community engagement, and strategic partnerships, we will not only build a thriving practice but also contribute significantly to reducing preventable blindness in Nigeria's capital. The focus on comprehensive ophthalmology – from prevention to complex surgery – ensures sustained relevance as eye disease burden rises across Abuja's growing population. This plan is designed for measurable growth, community trust, and long-term impact as the go-to Ophthalmologist service provider in Nigeria Abuja.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Nigeria Abuja</dc:title>
  <dc:creator/>
  <dc:language>en</dc:language>
  <cp:keywords/>
  <dcterms:created xsi:type="dcterms:W3CDTF">2026-07-23T19:20:50Z</dcterms:created>
  <dcterms:modified xsi:type="dcterms:W3CDTF">2026-07-23T19:20:50Z</dcterms:modified>
</cp:coreProperties>
</file>

<file path=docProps/custom.xml><?xml version="1.0" encoding="utf-8"?>
<Properties xmlns="http://schemas.openxmlformats.org/officeDocument/2006/custom-properties" xmlns:vt="http://schemas.openxmlformats.org/officeDocument/2006/docPropsVTypes"/>
</file>