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Practice</w:t>
      </w:r>
      <w:r>
        <w:t xml:space="preserve"> </w:t>
      </w:r>
      <w:r>
        <w:t xml:space="preserve">in</w:t>
      </w:r>
      <w:r>
        <w:t xml:space="preserve"> </w:t>
      </w:r>
      <w:r>
        <w:t xml:space="preserve">Peru</w:t>
      </w:r>
      <w:r>
        <w:t xml:space="preserve"> </w:t>
      </w:r>
      <w:r>
        <w:t xml:space="preserve">Lima</w:t>
      </w:r>
    </w:p>
    <w:bookmarkStart w:id="32" w:name="Xe8166aa0ca49bde8a8b83f2b618ecf626a33bc6"/>
    <w:p>
      <w:pPr>
        <w:pStyle w:val="Heading1"/>
      </w:pPr>
      <w:r>
        <w:t xml:space="preserve">Comprehensive Marketing Plan for Premium Ophthalmologist Services in Peru Lima</w:t>
      </w:r>
    </w:p>
    <w:bookmarkStart w:id="20" w:name="executive-summary"/>
    <w:p>
      <w:pPr>
        <w:pStyle w:val="Heading2"/>
      </w:pPr>
      <w:r>
        <w:t xml:space="preserve">Executive Summary</w:t>
      </w:r>
    </w:p>
    <w:p>
      <w:pPr>
        <w:pStyle w:val="FirstParagraph"/>
      </w:pPr>
      <w:r>
        <w:t xml:space="preserve">This Marketing Plan outlines a strategic approach to establish and grow a leading ophthalmology practice in the vibrant urban landscape of Peru Lima. As one of Latin America's most populous cities with over 10 million residents, Lima presents significant opportunities for specialized eye care services. Our plan targets high-value patients seeking advanced ophthalmic treatments while addressing critical gaps in accessible, high-quality eye care across Peru Lima's diverse socioeconomic segments. This Marketing Plan positions the practice as the premier destination for comprehensive vision health solutions, leveraging digital innovation and community engagement to achieve 35% market share within 24 months.</w:t>
      </w:r>
    </w:p>
    <w:bookmarkEnd w:id="20"/>
    <w:bookmarkStart w:id="21" w:name="X5bb3eba0bb71643c0ec1d9594c0dc40a5d3433a"/>
    <w:p>
      <w:pPr>
        <w:pStyle w:val="Heading2"/>
      </w:pPr>
      <w:r>
        <w:t xml:space="preserve">Market Analysis: Ophthalmologist Demand in Peru Lima</w:t>
      </w:r>
    </w:p>
    <w:p>
      <w:pPr>
        <w:pStyle w:val="FirstParagraph"/>
      </w:pPr>
      <w:r>
        <w:t xml:space="preserve">Lima's ophthalmic market faces unique challenges. With an aging population (19% over 60 years) and rising diabetes rates (15% prevalence), age-related macular degeneration, cataracts, and diabetic retinopathy represent urgent public health needs. However, only 28% of Lima residents have access to specialized ophthalmic care due to geographic barriers and affordability concerns. This creates a compelling opportunity for a premium practice that combines cutting-edge technology with culturally sensitive patient care. Our market research identifies three primary segments: affluent professionals (40% of target), Medicare-eligible seniors (35%), and middle-income families (25%). Notably, 68% of Lima residents prefer local clinics over distant hospitals, validating our neighborhood-focused strategy.</w:t>
      </w:r>
    </w:p>
    <w:bookmarkEnd w:id="21"/>
    <w:bookmarkStart w:id="22" w:name="competitive-differentiation-strategy"/>
    <w:p>
      <w:pPr>
        <w:pStyle w:val="Heading2"/>
      </w:pPr>
      <w:r>
        <w:t xml:space="preserve">Competitive Differentiation Strategy</w:t>
      </w:r>
    </w:p>
    <w:p>
      <w:pPr>
        <w:pStyle w:val="FirstParagraph"/>
      </w:pPr>
      <w:r>
        <w:t xml:space="preserve">Unlike competitors offering limited services or outdated facilities, our practice will differentiate through:</w:t>
      </w:r>
    </w:p>
    <w:p>
      <w:pPr>
        <w:numPr>
          <w:ilvl w:val="0"/>
          <w:numId w:val="1001"/>
        </w:numPr>
        <w:pStyle w:val="Compact"/>
      </w:pPr>
      <w:r>
        <w:rPr>
          <w:bCs/>
          <w:b/>
        </w:rPr>
        <w:t xml:space="preserve">Technology Integration:</w:t>
      </w:r>
      <w:r>
        <w:t xml:space="preserve"> </w:t>
      </w:r>
      <w:r>
        <w:t xml:space="preserve">AI-powered retinal imaging and teleophthalmology for remote consultations in peripheral Lima districts</w:t>
      </w:r>
    </w:p>
    <w:p>
      <w:pPr>
        <w:numPr>
          <w:ilvl w:val="0"/>
          <w:numId w:val="1001"/>
        </w:numPr>
        <w:pStyle w:val="Compact"/>
      </w:pPr>
      <w:r>
        <w:rPr>
          <w:bCs/>
          <w:b/>
        </w:rPr>
        <w:t xml:space="preserve">Cultural Adaptation:</w:t>
      </w:r>
      <w:r>
        <w:t xml:space="preserve"> </w:t>
      </w:r>
      <w:r>
        <w:t xml:space="preserve">Bilingual (Spanish/English) staff and materials addressing Andean cultural perceptions of eye health</w:t>
      </w:r>
    </w:p>
    <w:p>
      <w:pPr>
        <w:numPr>
          <w:ilvl w:val="0"/>
          <w:numId w:val="1001"/>
        </w:numPr>
        <w:pStyle w:val="Compact"/>
      </w:pPr>
      <w:r>
        <w:rPr>
          <w:bCs/>
          <w:b/>
        </w:rPr>
        <w:t xml:space="preserve">Social Impact:</w:t>
      </w:r>
      <w:r>
        <w:t xml:space="preserve"> </w:t>
      </w:r>
      <w:r>
        <w:t xml:space="preserve">Free annual vision screenings at public schools across Lima's marginalized districts (e.g., San Juan de Lurigancho)</w:t>
      </w:r>
    </w:p>
    <w:p>
      <w:pPr>
        <w:pStyle w:val="FirstParagraph"/>
      </w:pPr>
      <w:r>
        <w:t xml:space="preserve">While competitors focus on surgical volume, our Marketing Plan prioritizes preventive care relationships – a critical gap in Peru Lima's healthcare landscape where 62% of vision loss is preventable.</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Acquire 5,000 active patient records within 18 months</w:t>
      </w:r>
    </w:p>
    <w:p>
      <w:pPr>
        <w:numPr>
          <w:ilvl w:val="0"/>
          <w:numId w:val="1002"/>
        </w:numPr>
        <w:pStyle w:val="Compact"/>
      </w:pPr>
      <w:r>
        <w:t xml:space="preserve">Achieve 95% patient satisfaction rating (exceeding Lima's industry average of 78%)</w:t>
      </w:r>
    </w:p>
    <w:p>
      <w:pPr>
        <w:numPr>
          <w:ilvl w:val="0"/>
          <w:numId w:val="1002"/>
        </w:numPr>
        <w:pStyle w:val="Compact"/>
      </w:pPr>
      <w:r>
        <w:t xml:space="preserve">Secure partnerships with 20 corporate clients for employee eye health programs</w:t>
      </w:r>
    </w:p>
    <w:p>
      <w:pPr>
        <w:numPr>
          <w:ilvl w:val="0"/>
          <w:numId w:val="1002"/>
        </w:numPr>
        <w:pStyle w:val="Compact"/>
      </w:pPr>
      <w:r>
        <w:t xml:space="preserve">Generate 40% of new patients through digital channels by Year 2</w:t>
      </w:r>
    </w:p>
    <w:bookmarkEnd w:id="23"/>
    <w:bookmarkStart w:id="27" w:name="X20f6982dc3d193bdb940d8a2a387bdbd138377d"/>
    <w:p>
      <w:pPr>
        <w:pStyle w:val="Heading2"/>
      </w:pPr>
      <w:r>
        <w:t xml:space="preserve">Targeted Marketing Strategies for Peru Lima Market</w:t>
      </w:r>
    </w:p>
    <w:bookmarkStart w:id="24" w:name="digital-community-outreach-primary-focus"/>
    <w:p>
      <w:pPr>
        <w:pStyle w:val="Heading3"/>
      </w:pPr>
      <w:r>
        <w:t xml:space="preserve">Digital &amp; Community Outreach (Primary Focus)</w:t>
      </w:r>
    </w:p>
    <w:p>
      <w:pPr>
        <w:pStyle w:val="FirstParagraph"/>
      </w:pPr>
      <w:r>
        <w:t xml:space="preserve">In Peru Lima's hyper-connected urban environment, we prioritize mobile-first digital engagement. Our strategy includes:</w:t>
      </w:r>
    </w:p>
    <w:p>
      <w:pPr>
        <w:numPr>
          <w:ilvl w:val="0"/>
          <w:numId w:val="1003"/>
        </w:numPr>
        <w:pStyle w:val="Compact"/>
      </w:pPr>
      <w:r>
        <w:rPr>
          <w:bCs/>
          <w:b/>
        </w:rPr>
        <w:t xml:space="preserve">Lima-Specific Social Media Campaigns:</w:t>
      </w:r>
      <w:r>
        <w:t xml:space="preserve"> </w:t>
      </w:r>
      <w:r>
        <w:t xml:space="preserve">Instagram/TikTok series featuring "Eye Health Myths in Peruvian Culture" with local influencers (e.g., renowned Lima chef discussing cataracts prevention)</w:t>
      </w:r>
    </w:p>
    <w:p>
      <w:pPr>
        <w:numPr>
          <w:ilvl w:val="0"/>
          <w:numId w:val="1003"/>
        </w:numPr>
        <w:pStyle w:val="Compact"/>
      </w:pPr>
      <w:r>
        <w:rPr>
          <w:bCs/>
          <w:b/>
        </w:rPr>
        <w:t xml:space="preserve">Google Maps Optimization:</w:t>
      </w:r>
      <w:r>
        <w:t xml:space="preserve"> </w:t>
      </w:r>
      <w:r>
        <w:t xml:space="preserve">Strategic placement of practice location within "Eye Doctor near me" searches across Lima neighborhoods</w:t>
      </w:r>
    </w:p>
    <w:p>
      <w:pPr>
        <w:numPr>
          <w:ilvl w:val="0"/>
          <w:numId w:val="1003"/>
        </w:numPr>
        <w:pStyle w:val="Compact"/>
      </w:pPr>
      <w:r>
        <w:rPr>
          <w:bCs/>
          <w:b/>
        </w:rPr>
        <w:t xml:space="preserve">Community Health Partnerships:</w:t>
      </w:r>
      <w:r>
        <w:t xml:space="preserve"> </w:t>
      </w:r>
      <w:r>
        <w:t xml:space="preserve">Monthly free vision screenings at popular public spaces (e.g., Parque de la Reserva, Plaza San Martín) with on-site appointment booking</w:t>
      </w:r>
    </w:p>
    <w:bookmarkEnd w:id="24"/>
    <w:bookmarkStart w:id="25" w:name="physician-centric-positioning"/>
    <w:p>
      <w:pPr>
        <w:pStyle w:val="Heading3"/>
      </w:pPr>
      <w:r>
        <w:t xml:space="preserve">Physician-Centric Positioning</w:t>
      </w:r>
    </w:p>
    <w:p>
      <w:pPr>
        <w:pStyle w:val="FirstParagraph"/>
      </w:pPr>
      <w:r>
        <w:t xml:space="preserve">The Marketing Plan centers the ophthalmologist's expertise through:</w:t>
      </w:r>
    </w:p>
    <w:p>
      <w:pPr>
        <w:numPr>
          <w:ilvl w:val="0"/>
          <w:numId w:val="1004"/>
        </w:numPr>
        <w:pStyle w:val="Compact"/>
      </w:pPr>
      <w:r>
        <w:rPr>
          <w:bCs/>
          <w:b/>
        </w:rPr>
        <w:t xml:space="preserve">Personal Brand Development:</w:t>
      </w:r>
      <w:r>
        <w:t xml:space="preserve"> </w:t>
      </w:r>
      <w:r>
        <w:t xml:space="preserve">Ophthalmologist featured in Lima business journals (e.g., "El Comercio") discussing regional eye health trends</w:t>
      </w:r>
    </w:p>
    <w:p>
      <w:pPr>
        <w:numPr>
          <w:ilvl w:val="0"/>
          <w:numId w:val="1004"/>
        </w:numPr>
        <w:pStyle w:val="Compact"/>
      </w:pPr>
      <w:r>
        <w:rPr>
          <w:bCs/>
          <w:b/>
        </w:rPr>
        <w:t xml:space="preserve">Referral Network Building:</w:t>
      </w:r>
      <w:r>
        <w:t xml:space="preserve"> </w:t>
      </w:r>
      <w:r>
        <w:t xml:space="preserve">Exclusive educational workshops for primary care clinics across Lima's Miraflores, Surco, and Magdalena areas</w:t>
      </w:r>
    </w:p>
    <w:p>
      <w:pPr>
        <w:numPr>
          <w:ilvl w:val="0"/>
          <w:numId w:val="1004"/>
        </w:numPr>
        <w:pStyle w:val="Compact"/>
      </w:pPr>
      <w:r>
        <w:rPr>
          <w:bCs/>
          <w:b/>
        </w:rPr>
        <w:t xml:space="preserve">Clinic Experience Design:</w:t>
      </w:r>
      <w:r>
        <w:t xml:space="preserve"> </w:t>
      </w:r>
      <w:r>
        <w:t xml:space="preserve">Patient journey mapped to Peruvian cultural preferences (e.g., offering mate tea during consultations)</w:t>
      </w:r>
    </w:p>
    <w:bookmarkEnd w:id="25"/>
    <w:bookmarkStart w:id="26" w:name="strategic-pricing-for-peru-lima-context"/>
    <w:p>
      <w:pPr>
        <w:pStyle w:val="Heading3"/>
      </w:pPr>
      <w:r>
        <w:t xml:space="preserve">Strategic Pricing for Peru Lima Context</w:t>
      </w:r>
    </w:p>
    <w:p>
      <w:pPr>
        <w:pStyle w:val="FirstParagraph"/>
      </w:pPr>
      <w:r>
        <w:t xml:space="preserve">We implement tiered pricing aligned with Lima's economic reality:</w:t>
      </w:r>
    </w:p>
    <w:p>
      <w:pPr>
        <w:pStyle w:val="BodyText"/>
      </w:pPr>
      <w:r>
        <w:t xml:space="preserve">Service Type</w:t>
      </w:r>
    </w:p>
    <w:p>
      <w:pPr>
        <w:pStyle w:val="BodyText"/>
      </w:pPr>
      <w:r>
        <w:t xml:space="preserve">Standard Price (USD)</w:t>
      </w:r>
    </w:p>
    <w:p>
      <w:pPr>
        <w:pStyle w:val="BodyText"/>
      </w:pPr>
      <w:r>
        <w:t xml:space="preserve">Lima-Specific Discount</w:t>
      </w:r>
    </w:p>
    <w:p>
      <w:pPr>
        <w:pStyle w:val="BodyText"/>
      </w:pPr>
      <w:r>
        <w:t xml:space="preserve">Comprehensive Eye Exam</w:t>
      </w:r>
    </w:p>
    <w:p>
      <w:pPr>
        <w:pStyle w:val="BodyText"/>
      </w:pPr>
      <w:r>
        <w:t xml:space="preserve">$75</w:t>
      </w:r>
    </w:p>
    <w:p>
      <w:pPr>
        <w:pStyle w:val="BodyText"/>
      </w:pPr>
      <w:r>
        <w:t xml:space="preserve">$50 for seniors (60+)</w:t>
      </w:r>
    </w:p>
    <w:p>
      <w:pPr>
        <w:pStyle w:val="BodyText"/>
      </w:pPr>
      <w:r>
        <w:t xml:space="preserve">Cataract Surgery (Basic)</w:t>
      </w:r>
    </w:p>
    <w:p>
      <w:pPr>
        <w:pStyle w:val="BodyText"/>
      </w:pPr>
      <w:r>
        <w:t xml:space="preserve">$1,200</w:t>
      </w:r>
    </w:p>
    <w:p>
      <w:pPr>
        <w:pStyle w:val="BodyText"/>
      </w:pPr>
      <w:r>
        <w:t xml:space="preserve">$950 with Banco de la Nación payment plan</w:t>
      </w:r>
    </w:p>
    <w:bookmarkEnd w:id="26"/>
    <w:bookmarkEnd w:id="27"/>
    <w:bookmarkStart w:id="28" w:name="budget-allocation-first-year"/>
    <w:p>
      <w:pPr>
        <w:pStyle w:val="Heading2"/>
      </w:pPr>
      <w:r>
        <w:t xml:space="preserve">Budget Allocation (First Year)</w:t>
      </w:r>
    </w:p>
    <w:p>
      <w:pPr>
        <w:pStyle w:val="FirstParagraph"/>
      </w:pPr>
      <w:r>
        <w:t xml:space="preserve">Total Marketing Budget: $85,000 (18% of projected revenue)</w:t>
      </w:r>
    </w:p>
    <w:p>
      <w:pPr>
        <w:numPr>
          <w:ilvl w:val="0"/>
          <w:numId w:val="1005"/>
        </w:numPr>
        <w:pStyle w:val="Compact"/>
      </w:pPr>
      <w:r>
        <w:t xml:space="preserve">Digital Advertising: $34,000 (40%) – Google Ads targeting Lima locations + Instagram geotags</w:t>
      </w:r>
    </w:p>
    <w:p>
      <w:pPr>
        <w:numPr>
          <w:ilvl w:val="0"/>
          <w:numId w:val="1005"/>
        </w:numPr>
        <w:pStyle w:val="Compact"/>
      </w:pPr>
      <w:r>
        <w:t xml:space="preserve">Community Events: $22,500 (26%) – Screening equipment and staff for 15 monthly neighborhood events</w:t>
      </w:r>
    </w:p>
    <w:p>
      <w:pPr>
        <w:numPr>
          <w:ilvl w:val="0"/>
          <w:numId w:val="1005"/>
        </w:numPr>
        <w:pStyle w:val="Compact"/>
      </w:pPr>
      <w:r>
        <w:t xml:space="preserve">Content Production: $18,500 (22%) – Videos featuring ophthalmologist in Lima settings + blog content</w:t>
      </w:r>
    </w:p>
    <w:p>
      <w:pPr>
        <w:numPr>
          <w:ilvl w:val="0"/>
          <w:numId w:val="1005"/>
        </w:numPr>
        <w:pStyle w:val="Compact"/>
      </w:pPr>
      <w:r>
        <w:t xml:space="preserve">Referral Program: $10,000 (12%) – Incentives for doctors recommending our practice across Lima</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Lima community partnership launch; clinic digital optimization; ophthalmologist media profile development</w:t>
            </w:r>
          </w:p>
        </w:tc>
      </w:tr>
      <w:tr>
        <w:tc>
          <w:tcPr/>
          <w:p>
            <w:pPr>
              <w:pStyle w:val="Compact"/>
              <w:jc w:val="left"/>
            </w:pPr>
            <w:r>
              <w:t xml:space="preserve">Q2 2024</w:t>
            </w:r>
          </w:p>
        </w:tc>
        <w:tc>
          <w:tcPr/>
          <w:p>
            <w:pPr>
              <w:pStyle w:val="Compact"/>
              <w:jc w:val="left"/>
            </w:pPr>
            <w:r>
              <w:t xml:space="preserve">First neighborhood screening event in San Isidro; Google Ads campaign initiation; referral program activation</w:t>
            </w:r>
          </w:p>
        </w:tc>
      </w:tr>
      <w:tr>
        <w:tc>
          <w:tcPr/>
          <w:p>
            <w:pPr>
              <w:pStyle w:val="Compact"/>
              <w:jc w:val="left"/>
            </w:pPr>
            <w:r>
              <w:t xml:space="preserve">Q3 2024</w:t>
            </w:r>
          </w:p>
        </w:tc>
        <w:tc>
          <w:tcPr/>
          <w:p>
            <w:pPr>
              <w:pStyle w:val="Compact"/>
              <w:jc w:val="left"/>
            </w:pPr>
            <w:r>
              <w:t xml:space="preserve">Institute corporate wellness partnerships with Lima businesses; launch teleophthalmology pilot for Callao district</w:t>
            </w:r>
          </w:p>
        </w:tc>
      </w:tr>
      <w:tr>
        <w:tc>
          <w:tcPr/>
          <w:p>
            <w:pPr>
              <w:pStyle w:val="Compact"/>
              <w:jc w:val="left"/>
            </w:pPr>
            <w:r>
              <w:t xml:space="preserve">Q4 2024</w:t>
            </w:r>
          </w:p>
        </w:tc>
        <w:tc>
          <w:tcPr/>
          <w:p>
            <w:pPr>
              <w:pStyle w:val="Compact"/>
              <w:jc w:val="left"/>
            </w:pPr>
            <w:r>
              <w:t xml:space="preserve">Evaluate patient acquisition channels; adjust budget allocation based on Lima market response; plan Year 2 expansion</w:t>
            </w:r>
          </w:p>
        </w:tc>
      </w:tr>
    </w:tbl>
    <w:bookmarkEnd w:id="29"/>
    <w:bookmarkStart w:id="30" w:name="measurement-evaluation-framework"/>
    <w:p>
      <w:pPr>
        <w:pStyle w:val="Heading2"/>
      </w:pPr>
      <w:r>
        <w:t xml:space="preserve">Measurement &amp; Evaluation Framework</w:t>
      </w:r>
    </w:p>
    <w:p>
      <w:pPr>
        <w:pStyle w:val="FirstParagraph"/>
      </w:pPr>
      <w:r>
        <w:t xml:space="preserve">We track success through Lima-specific KPIs:</w:t>
      </w:r>
    </w:p>
    <w:p>
      <w:pPr>
        <w:numPr>
          <w:ilvl w:val="0"/>
          <w:numId w:val="1006"/>
        </w:numPr>
        <w:pStyle w:val="Compact"/>
      </w:pPr>
      <w:r>
        <w:rPr>
          <w:bCs/>
          <w:b/>
        </w:rPr>
        <w:t xml:space="preserve">Local Patient Acquisition Rate:</w:t>
      </w:r>
      <w:r>
        <w:t xml:space="preserve"> </w:t>
      </w:r>
      <w:r>
        <w:t xml:space="preserve">% of patients from within Lima metropolitan area (target: 85%)</w:t>
      </w:r>
    </w:p>
    <w:p>
      <w:pPr>
        <w:numPr>
          <w:ilvl w:val="0"/>
          <w:numId w:val="1006"/>
        </w:numPr>
        <w:pStyle w:val="Compact"/>
      </w:pPr>
      <w:r>
        <w:rPr>
          <w:bCs/>
          <w:b/>
        </w:rPr>
        <w:t xml:space="preserve">Cultural Relevance Score:</w:t>
      </w:r>
      <w:r>
        <w:t xml:space="preserve"> </w:t>
      </w:r>
      <w:r>
        <w:t xml:space="preserve">Patient survey metric on perceived cultural sensitivity (target: 4.7/5)</w:t>
      </w:r>
    </w:p>
    <w:p>
      <w:pPr>
        <w:numPr>
          <w:ilvl w:val="0"/>
          <w:numId w:val="1006"/>
        </w:numPr>
        <w:pStyle w:val="Compact"/>
      </w:pPr>
      <w:r>
        <w:rPr>
          <w:bCs/>
          <w:b/>
        </w:rPr>
        <w:t xml:space="preserve">Social Impact Index:</w:t>
      </w:r>
      <w:r>
        <w:t xml:space="preserve"> </w:t>
      </w:r>
      <w:r>
        <w:t xml:space="preserve">Number of free services delivered to underserved Lima communities (target: 1,200 annually)</w:t>
      </w:r>
    </w:p>
    <w:p>
      <w:pPr>
        <w:pStyle w:val="FirstParagraph"/>
      </w:pPr>
      <w:r>
        <w:t xml:space="preserve">Monthly review meetings will analyze data through the lens of Peru Lima's unique healthcare dynamics, adjusting tactics based on real-time feedback from our community-based approach.</w:t>
      </w:r>
    </w:p>
    <w:bookmarkEnd w:id="30"/>
    <w:bookmarkStart w:id="31" w:name="conclusion"/>
    <w:p>
      <w:pPr>
        <w:pStyle w:val="Heading2"/>
      </w:pPr>
      <w:r>
        <w:t xml:space="preserve">Conclusion</w:t>
      </w:r>
    </w:p>
    <w:p>
      <w:pPr>
        <w:pStyle w:val="FirstParagraph"/>
      </w:pPr>
      <w:r>
        <w:t xml:space="preserve">This Marketing Plan positions the ophthalmologist as a transformative leader in Lima's eye care landscape. By embedding cultural intelligence into every marketing touchpoint and focusing on sustainable community health impact, we move beyond transactional service delivery to build lasting trust within Peru Lima. The strategy directly addresses systemic gaps in eye care access while creating a scalable model for premium healthcare that resonates with Lima's unique socioeconomic fabric. As the only practice combining cutting-edge ophthalmic technology with deep community immersion in Peru Lima, this plan ensures both clinical excellence and measurable social impact – establishing an unassailable brand position where it matters most: in the hearts and eyes of Lima's residents.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Practice in Peru Lima</dc:title>
  <dc:creator/>
  <dc:language>en</dc:language>
  <cp:keywords/>
  <dcterms:created xsi:type="dcterms:W3CDTF">2025-12-10T13:15:28Z</dcterms:created>
  <dcterms:modified xsi:type="dcterms:W3CDTF">2025-12-10T13:15:28Z</dcterms:modified>
</cp:coreProperties>
</file>

<file path=docProps/custom.xml><?xml version="1.0" encoding="utf-8"?>
<Properties xmlns="http://schemas.openxmlformats.org/officeDocument/2006/custom-properties" xmlns:vt="http://schemas.openxmlformats.org/officeDocument/2006/docPropsVTypes"/>
</file>