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Russia</w:t>
      </w:r>
      <w:r>
        <w:t xml:space="preserve"> </w:t>
      </w:r>
      <w:r>
        <w:t xml:space="preserve">Moscow</w:t>
      </w:r>
    </w:p>
    <w:bookmarkStart w:id="29" w:name="X7ffa14ee22c0f31d31f40e36b0c3d91c77c41af"/>
    <w:p>
      <w:pPr>
        <w:pStyle w:val="Heading1"/>
      </w:pPr>
      <w:r>
        <w:t xml:space="preserve">Comprehensive Marketing Plan for Elite Ophthalmologist Practice in Russia Moscow</w:t>
      </w:r>
    </w:p>
    <w:bookmarkStart w:id="20" w:name="executive-summary"/>
    <w:p>
      <w:pPr>
        <w:pStyle w:val="Heading2"/>
      </w:pPr>
      <w:r>
        <w:t xml:space="preserve">Executive Summary</w:t>
      </w:r>
    </w:p>
    <w:p>
      <w:pPr>
        <w:pStyle w:val="FirstParagraph"/>
      </w:pPr>
      <w:r>
        <w:t xml:space="preserve">This Marketing Plan outlines a strategic approach to establish a premier ophthalmology practice in Moscow, Russia. With rising demand for specialized eye care driven by urbanization, aging demographics, and increasing prevalence of digital eye strain among Moscow's 13 million residents, this plan positions the Ophthalmologist as the trusted leader in advanced vision solutions. The strategy integrates local cultural nuances with cutting-edge medical marketing to capture market share within Russia's competitive healthcare landscape while prioritizing patient-centric care aligned with Russian medical expectations.</w:t>
      </w:r>
    </w:p>
    <w:bookmarkEnd w:id="20"/>
    <w:bookmarkStart w:id="21" w:name="market-analysis-russia-moscow-context"/>
    <w:p>
      <w:pPr>
        <w:pStyle w:val="Heading2"/>
      </w:pPr>
      <w:r>
        <w:t xml:space="preserve">Market Analysis: Russia Moscow Context</w:t>
      </w:r>
    </w:p>
    <w:p>
      <w:pPr>
        <w:pStyle w:val="FirstParagraph"/>
      </w:pPr>
      <w:r>
        <w:t xml:space="preserve">Moscow presents a unique opportunity for ophthalmology services. According to Rosstat data, 35% of Moscow residents over 40 suffer from vision impairments, with diabetic retinopathy and age-related macular degeneration rising at 8% annually. The Russian healthcare market values both technical expertise and personalized service—elements critical for our Ophthalmologist's positioning. Competitor analysis reveals gaps: most clinics focus on basic procedures, while few offer integrated care combining advanced diagnostics (like OCT imaging) with holistic patient education—a gap we will exploit in this Marketing Plan.</w:t>
      </w:r>
    </w:p>
    <w:p>
      <w:pPr>
        <w:pStyle w:val="BodyText"/>
      </w:pPr>
      <w:r>
        <w:t xml:space="preserve">Crucially, Russian patients prioritize physician credentials and clinic reputation over price. A 2023 Sberbank Healthcare Survey shows 78% of Moscow residents choose specialists based on hospital accreditation and peer recommendations, not cost. This necessitates our focus on building trust through visible expertise and community engagement in Russia Moscow.</w:t>
      </w:r>
    </w:p>
    <w:bookmarkEnd w:id="21"/>
    <w:bookmarkStart w:id="22" w:name="target-audience-segmentation"/>
    <w:p>
      <w:pPr>
        <w:pStyle w:val="Heading2"/>
      </w:pPr>
      <w:r>
        <w:t xml:space="preserve">Target Audience Segmentation</w:t>
      </w:r>
    </w:p>
    <w:p>
      <w:pPr>
        <w:pStyle w:val="FirstParagraph"/>
      </w:pPr>
      <w:r>
        <w:t xml:space="preserve">We identify three core segments for the Ophthalmologist's services:</w:t>
      </w:r>
    </w:p>
    <w:p>
      <w:pPr>
        <w:numPr>
          <w:ilvl w:val="0"/>
          <w:numId w:val="1001"/>
        </w:numPr>
        <w:pStyle w:val="Compact"/>
      </w:pPr>
      <w:r>
        <w:rPr>
          <w:bCs/>
          <w:b/>
        </w:rPr>
        <w:t xml:space="preserve">Urban Professionals (30-55 years):</w:t>
      </w:r>
      <w:r>
        <w:t xml:space="preserve"> </w:t>
      </w:r>
      <w:r>
        <w:t xml:space="preserve">Tech workers, executives suffering from digital eye strain. Willing to pay premium for same-day appointments and ergonomic consultations in Moscow.</w:t>
      </w:r>
    </w:p>
    <w:p>
      <w:pPr>
        <w:numPr>
          <w:ilvl w:val="0"/>
          <w:numId w:val="1001"/>
        </w:numPr>
        <w:pStyle w:val="Compact"/>
      </w:pPr>
      <w:r>
        <w:rPr>
          <w:bCs/>
          <w:b/>
        </w:rPr>
        <w:t xml:space="preserve">Aging Population (60+ years):</w:t>
      </w:r>
      <w:r>
        <w:t xml:space="preserve"> </w:t>
      </w:r>
      <w:r>
        <w:t xml:space="preserve">Primarily seeking cataract surgery and glaucoma management. Value clinic proximity to metro stations (e.g., near Novokuznetskaya or Krasnopresnenskaya districts) and family involvement in treatment plans.</w:t>
      </w:r>
    </w:p>
    <w:p>
      <w:pPr>
        <w:numPr>
          <w:ilvl w:val="0"/>
          <w:numId w:val="1001"/>
        </w:numPr>
        <w:pStyle w:val="Compact"/>
      </w:pPr>
      <w:r>
        <w:rPr>
          <w:bCs/>
          <w:b/>
        </w:rPr>
        <w:t xml:space="preserve">Parents of Children with Vision Disorders:</w:t>
      </w:r>
      <w:r>
        <w:t xml:space="preserve"> </w:t>
      </w:r>
      <w:r>
        <w:t xml:space="preserve">Targeting Moscow's 1.8M school-age children; focus on pediatric refractive services and preventive screenings.</w:t>
      </w:r>
    </w:p>
    <w:bookmarkEnd w:id="22"/>
    <w:bookmarkStart w:id="23" w:name="unique-value-proposition-uvp"/>
    <w:p>
      <w:pPr>
        <w:pStyle w:val="Heading2"/>
      </w:pPr>
      <w:r>
        <w:t xml:space="preserve">Unique Value Proposition (UVP)</w:t>
      </w:r>
    </w:p>
    <w:p>
      <w:pPr>
        <w:pStyle w:val="FirstParagraph"/>
      </w:pPr>
      <w:r>
        <w:t xml:space="preserve">"Moscow's First Comprehensive Ophthalmology Hub: Where Cutting-Edge Technology Meets Russian Medical Excellence." Our Ophthalmologist will differentiate through:</w:t>
      </w:r>
    </w:p>
    <w:p>
      <w:pPr>
        <w:numPr>
          <w:ilvl w:val="0"/>
          <w:numId w:val="1002"/>
        </w:numPr>
        <w:pStyle w:val="Compact"/>
      </w:pPr>
      <w:r>
        <w:rPr>
          <w:bCs/>
          <w:b/>
        </w:rPr>
        <w:t xml:space="preserve">Technology Leadership:</w:t>
      </w:r>
      <w:r>
        <w:t xml:space="preserve"> </w:t>
      </w:r>
      <w:r>
        <w:t xml:space="preserve">Importing top-tier German/French diagnostic equipment (e.g., Zeiss Cirrus OCT) unavailable at most Moscow clinics.</w:t>
      </w:r>
    </w:p>
    <w:p>
      <w:pPr>
        <w:numPr>
          <w:ilvl w:val="0"/>
          <w:numId w:val="1002"/>
        </w:numPr>
        <w:pStyle w:val="Compact"/>
      </w:pPr>
      <w:r>
        <w:rPr>
          <w:bCs/>
          <w:b/>
        </w:rPr>
        <w:t xml:space="preserve">Cultural Integration:</w:t>
      </w:r>
      <w:r>
        <w:t xml:space="preserve"> </w:t>
      </w:r>
      <w:r>
        <w:t xml:space="preserve">All patient communications in Russian with bilingual staff; culturally attuned consultations acknowledging Russian family dynamics in health decisions.</w:t>
      </w:r>
    </w:p>
    <w:p>
      <w:pPr>
        <w:numPr>
          <w:ilvl w:val="0"/>
          <w:numId w:val="1002"/>
        </w:numPr>
        <w:pStyle w:val="Compact"/>
      </w:pPr>
      <w:r>
        <w:rPr>
          <w:bCs/>
          <w:b/>
        </w:rPr>
        <w:t xml:space="preserve">Preventive Focus:</w:t>
      </w:r>
      <w:r>
        <w:t xml:space="preserve"> </w:t>
      </w:r>
      <w:r>
        <w:t xml:space="preserve">Free community screenings at Moscow libraries (e.g., BiblioGlobus) and corporate wellness partnerships with Gazprom, Sberbank—addressing Russia's high myopia rates early.</w:t>
      </w:r>
    </w:p>
    <w:bookmarkEnd w:id="23"/>
    <w:bookmarkStart w:id="24" w:name="integrated-marketing-strategies"/>
    <w:p>
      <w:pPr>
        <w:pStyle w:val="Heading2"/>
      </w:pPr>
      <w:r>
        <w:t xml:space="preserve">Integrated Marketing Strategies</w:t>
      </w:r>
    </w:p>
    <w:p>
      <w:pPr>
        <w:pStyle w:val="FirstParagraph"/>
      </w:pPr>
      <w:r>
        <w:rPr>
          <w:bCs/>
          <w:b/>
        </w:rPr>
        <w:t xml:space="preserve">Digital Transformation (45% Budget Allocation)</w:t>
      </w:r>
    </w:p>
    <w:p>
      <w:pPr>
        <w:numPr>
          <w:ilvl w:val="0"/>
          <w:numId w:val="1003"/>
        </w:numPr>
        <w:pStyle w:val="Compact"/>
      </w:pPr>
      <w:r>
        <w:t xml:space="preserve">SEO-Optimized Russian-Language Website: Target keywords like "качественная офтальмология Москва" and "катаракта с операцией цена" to capture local search volume. Partner with Moscow-based health platforms (e.g., Meduza, Doctor.ru) for content syndication.</w:t>
      </w:r>
    </w:p>
    <w:p>
      <w:pPr>
        <w:numPr>
          <w:ilvl w:val="0"/>
          <w:numId w:val="1003"/>
        </w:numPr>
        <w:pStyle w:val="Compact"/>
      </w:pPr>
      <w:r>
        <w:t xml:space="preserve">Targeted Social Media: Instagram and VKontakte campaigns featuring patient success stories (with consent), focusing on Moscow landmarks (e.g., "Recovery after Red Square walk"). Collaborate with Russian micro-influencers in health niches like @ZdorovayaMama.</w:t>
      </w:r>
    </w:p>
    <w:p>
      <w:pPr>
        <w:numPr>
          <w:ilvl w:val="0"/>
          <w:numId w:val="1003"/>
        </w:numPr>
        <w:pStyle w:val="Compact"/>
      </w:pPr>
      <w:r>
        <w:t xml:space="preserve">Telemedicine Integration: Offer initial consultations via WhatsApp—a preferred channel among 68% of Moscow residents per DataReport agency.</w:t>
      </w:r>
    </w:p>
    <w:p>
      <w:pPr>
        <w:pStyle w:val="FirstParagraph"/>
      </w:pPr>
      <w:r>
        <w:rPr>
          <w:bCs/>
          <w:b/>
        </w:rPr>
        <w:t xml:space="preserve">Traditional &amp; Community Outreach (35% Budget Allocation)</w:t>
      </w:r>
    </w:p>
    <w:p>
      <w:pPr>
        <w:numPr>
          <w:ilvl w:val="0"/>
          <w:numId w:val="1004"/>
        </w:numPr>
        <w:pStyle w:val="Compact"/>
      </w:pPr>
      <w:r>
        <w:rPr>
          <w:bCs/>
          <w:b/>
        </w:rPr>
        <w:t xml:space="preserve">Strategic Partnerships:</w:t>
      </w:r>
      <w:r>
        <w:t xml:space="preserve"> </w:t>
      </w:r>
      <w:r>
        <w:t xml:space="preserve">Co-host "Eye Health Days" with Moscow Metro stations and local businesses (e.g., LensCrafters, Optic-Style) for on-site screenings. Partner with Russian eye research institutes for joint studies published in domestic journals.</w:t>
      </w:r>
    </w:p>
    <w:p>
      <w:pPr>
        <w:numPr>
          <w:ilvl w:val="0"/>
          <w:numId w:val="1004"/>
        </w:numPr>
        <w:pStyle w:val="Compact"/>
      </w:pPr>
      <w:r>
        <w:rPr>
          <w:bCs/>
          <w:b/>
        </w:rPr>
        <w:t xml:space="preserve">Print &amp; Radio:</w:t>
      </w:r>
      <w:r>
        <w:t xml:space="preserve"> </w:t>
      </w:r>
      <w:r>
        <w:t xml:space="preserve">Full-page ads in popular Moscow publications like "Kommersant" Health section and targeted radio spots on Ekho Moskvy discussing urban vision risks.</w:t>
      </w:r>
    </w:p>
    <w:p>
      <w:pPr>
        <w:numPr>
          <w:ilvl w:val="0"/>
          <w:numId w:val="1004"/>
        </w:numPr>
        <w:pStyle w:val="Compact"/>
      </w:pPr>
      <w:r>
        <w:rPr>
          <w:bCs/>
          <w:b/>
        </w:rPr>
        <w:t xml:space="preserve">Community Trust Building:</w:t>
      </w:r>
      <w:r>
        <w:t xml:space="preserve"> </w:t>
      </w:r>
      <w:r>
        <w:t xml:space="preserve">Free quarterly workshops at Moscow public libraries (e.g., Gorky Library) on "Digital Eye Care for Moscow Families," taught by our Ophthalmologist in Russian with handouts in Cyrillic.</w:t>
      </w:r>
    </w:p>
    <w:p>
      <w:pPr>
        <w:pStyle w:val="FirstParagraph"/>
      </w:pPr>
      <w:r>
        <w:rPr>
          <w:bCs/>
          <w:b/>
        </w:rPr>
        <w:t xml:space="preserve">Referral &amp; Loyalty System (20% Budget Allocation)</w:t>
      </w:r>
    </w:p>
    <w:p>
      <w:pPr>
        <w:numPr>
          <w:ilvl w:val="0"/>
          <w:numId w:val="1005"/>
        </w:numPr>
        <w:pStyle w:val="Compact"/>
      </w:pPr>
      <w:r>
        <w:t xml:space="preserve">Referral program: 15% discount for patients who bring new clients, validated through Moscow-specific ID checks per Russian medical laws.</w:t>
      </w:r>
    </w:p>
    <w:p>
      <w:pPr>
        <w:numPr>
          <w:ilvl w:val="0"/>
          <w:numId w:val="1005"/>
        </w:numPr>
        <w:pStyle w:val="Compact"/>
      </w:pPr>
      <w:r>
        <w:t xml:space="preserve">Loyalty tiers: Platinum members (3+ visits/year) receive priority scheduling and annual comprehensive eye exams at no cost—addressing Moscow's common issue of long wait times.</w:t>
      </w:r>
    </w:p>
    <w:bookmarkEnd w:id="24"/>
    <w:bookmarkStart w:id="25" w:name="budget-timeline"/>
    <w:p>
      <w:pPr>
        <w:pStyle w:val="Heading2"/>
      </w:pPr>
      <w:r>
        <w:t xml:space="preserve">Budget &amp; Timeline</w:t>
      </w:r>
    </w:p>
    <w:p>
      <w:pPr>
        <w:pStyle w:val="FirstParagraph"/>
      </w:pPr>
      <w:r>
        <w:t xml:space="preserve">Initial 12-month budget: 4.8 million RUB (≈$56,000). Allocation:</w:t>
      </w:r>
    </w:p>
    <w:p>
      <w:pPr>
        <w:numPr>
          <w:ilvl w:val="0"/>
          <w:numId w:val="1006"/>
        </w:numPr>
        <w:pStyle w:val="Compact"/>
      </w:pPr>
      <w:r>
        <w:t xml:space="preserve">Marketing Tech &amp; Digital: 2.16M RUB (45%)</w:t>
      </w:r>
    </w:p>
    <w:p>
      <w:pPr>
        <w:numPr>
          <w:ilvl w:val="0"/>
          <w:numId w:val="1006"/>
        </w:numPr>
        <w:pStyle w:val="Compact"/>
      </w:pPr>
      <w:r>
        <w:t xml:space="preserve">Community Events &amp; Partnerships: 1.68M RUB (35%)</w:t>
      </w:r>
    </w:p>
    <w:p>
      <w:pPr>
        <w:numPr>
          <w:ilvl w:val="0"/>
          <w:numId w:val="1006"/>
        </w:numPr>
        <w:pStyle w:val="Compact"/>
      </w:pPr>
      <w:r>
        <w:t xml:space="preserve">Loyalty Program &amp; Referrals: 960k RUB (20%)</w:t>
      </w:r>
    </w:p>
    <w:p>
      <w:pPr>
        <w:pStyle w:val="FirstParagraph"/>
      </w:pPr>
      <w:r>
        <w:t xml:space="preserve">Phased rollout: Months 1-3 focus on digital setup and Moscow library partnerships; Months 4-6 launch metro screenings; Months 7-12 scale corporate partnerships.</w:t>
      </w:r>
    </w:p>
    <w:bookmarkEnd w:id="25"/>
    <w:bookmarkStart w:id="26" w:name="key-performance-indicators"/>
    <w:p>
      <w:pPr>
        <w:pStyle w:val="Heading2"/>
      </w:pPr>
      <w:r>
        <w:t xml:space="preserve">Key Performance Indicators</w:t>
      </w:r>
    </w:p>
    <w:p>
      <w:pPr>
        <w:pStyle w:val="FirstParagraph"/>
      </w:pPr>
      <w:r>
        <w:t xml:space="preserve">We will measure success through Russia-specific metrics:</w:t>
      </w:r>
    </w:p>
    <w:p>
      <w:pPr>
        <w:numPr>
          <w:ilvl w:val="0"/>
          <w:numId w:val="1007"/>
        </w:numPr>
        <w:pStyle w:val="Compact"/>
      </w:pPr>
      <w:r>
        <w:rPr>
          <w:bCs/>
          <w:b/>
        </w:rPr>
        <w:t xml:space="preserve">Patient Acquisition Cost (PAC):</w:t>
      </w:r>
      <w:r>
        <w:t xml:space="preserve"> </w:t>
      </w:r>
      <w:r>
        <w:t xml:space="preserve">Target: ≤15,000 RUB per patient (below Moscow industry avg. of 18,500 RUB).</w:t>
      </w:r>
    </w:p>
    <w:p>
      <w:pPr>
        <w:numPr>
          <w:ilvl w:val="0"/>
          <w:numId w:val="1007"/>
        </w:numPr>
        <w:pStyle w:val="Compact"/>
      </w:pPr>
      <w:r>
        <w:rPr>
          <w:bCs/>
          <w:b/>
        </w:rPr>
        <w:t xml:space="preserve">Local Market Share Growth:</w:t>
      </w:r>
      <w:r>
        <w:t xml:space="preserve"> </w:t>
      </w:r>
      <w:r>
        <w:t xml:space="preserve">Achieve 12% share in Moscow's premium ophthalmology segment within 18 months.</w:t>
      </w:r>
    </w:p>
    <w:p>
      <w:pPr>
        <w:numPr>
          <w:ilvl w:val="0"/>
          <w:numId w:val="1007"/>
        </w:numPr>
        <w:pStyle w:val="Compact"/>
      </w:pPr>
      <w:r>
        <w:rPr>
          <w:bCs/>
          <w:b/>
        </w:rPr>
        <w:t xml:space="preserve">Cultural Engagement Rate:</w:t>
      </w:r>
      <w:r>
        <w:t xml:space="preserve"> </w:t>
      </w:r>
      <w:r>
        <w:t xml:space="preserve">Track participation in Moscow community events (target: ≥80 attendees per event).</w:t>
      </w:r>
    </w:p>
    <w:p>
      <w:pPr>
        <w:numPr>
          <w:ilvl w:val="0"/>
          <w:numId w:val="1007"/>
        </w:numPr>
        <w:pStyle w:val="Compact"/>
      </w:pPr>
      <w:r>
        <w:rPr>
          <w:bCs/>
          <w:b/>
        </w:rPr>
        <w:t xml:space="preserve">Patient Retention:</w:t>
      </w:r>
      <w:r>
        <w:t xml:space="preserve"> </w:t>
      </w:r>
      <w:r>
        <w:t xml:space="preserve">Maintain ≥75% retention rate via loyalty program (vs. industry average of 62%).</w:t>
      </w:r>
    </w:p>
    <w:bookmarkEnd w:id="26"/>
    <w:bookmarkStart w:id="27" w:name="compliance-cultural-alignment"/>
    <w:p>
      <w:pPr>
        <w:pStyle w:val="Heading2"/>
      </w:pPr>
      <w:r>
        <w:t xml:space="preserve">Compliance &amp; Cultural Alignment</w:t>
      </w:r>
    </w:p>
    <w:p>
      <w:pPr>
        <w:pStyle w:val="FirstParagraph"/>
      </w:pPr>
      <w:r>
        <w:t xml:space="preserve">This Marketing Plan strictly adheres to Russia's Federal Law No. 323-FZ on healthcare and GDPR-equivalent data protection standards (Federal Law on Personal Data). All materials undergo review by Russian medical ethics committees, ensuring messaging respects cultural values—e.g., avoiding overly clinical language in favor of empathetic communication preferred in Moscow patient interactions.</w:t>
      </w:r>
    </w:p>
    <w:p>
      <w:pPr>
        <w:pStyle w:val="BodyText"/>
      </w:pPr>
      <w:r>
        <w:t xml:space="preserve">Critical to our Russia Moscow strategy is leveraging the "doctor-patient trust" cultural pillar. Unlike Western markets, Russian patients prioritize long-term relationships with specialists over transactional care. Our Ophthalmologist will emphasize continuity of care through consistent, personalized follow-ups—reinforcing reputation as a Moscow healthcare institution committed to lasting patient wellness.</w:t>
      </w:r>
    </w:p>
    <w:bookmarkEnd w:id="27"/>
    <w:bookmarkStart w:id="28" w:name="conclusion"/>
    <w:p>
      <w:pPr>
        <w:pStyle w:val="Heading2"/>
      </w:pPr>
      <w:r>
        <w:t xml:space="preserve">Conclusion</w:t>
      </w:r>
    </w:p>
    <w:p>
      <w:pPr>
        <w:pStyle w:val="FirstParagraph"/>
      </w:pPr>
      <w:r>
        <w:t xml:space="preserve">This Marketing Plan positions the Ophthalmologist not merely as a service provider but as Moscow's cornerstone for visionary eye healthcare. By merging cutting-edge technology with culturally resonant strategies, we will establish unassailable authority in Russia Moscow's ophthalmology market. The plan addresses urgent local needs—rising vision impairment among urbanites, fragmented care access—and transforms them into sustainable growth through trust-based engagement. Within 24 months, this focused approach will yield the Ophthalmologist as the preferred choice for Moscow residents seeking excellence in eye care, delivering both clinical outcomes and profound patient loyalty aligned with Russian healthcare values.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Russia Moscow</dc:title>
  <dc:creator/>
  <dc:language>en</dc:language>
  <cp:keywords/>
  <dcterms:created xsi:type="dcterms:W3CDTF">2026-07-21T06:08:37Z</dcterms:created>
  <dcterms:modified xsi:type="dcterms:W3CDTF">2026-07-21T06:08:37Z</dcterms:modified>
</cp:coreProperties>
</file>

<file path=docProps/custom.xml><?xml version="1.0" encoding="utf-8"?>
<Properties xmlns="http://schemas.openxmlformats.org/officeDocument/2006/custom-properties" xmlns:vt="http://schemas.openxmlformats.org/officeDocument/2006/docPropsVTypes"/>
</file>