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9ddf10008e32a2fc0613672d1ec6815ad521a34"/>
    <w:p>
      <w:pPr>
        <w:pStyle w:val="Heading1"/>
      </w:pPr>
      <w:r>
        <w:t xml:space="preserve">Comprehensive Marketing Plan for Premium Ophthalmologist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approach to position a leading Ophthalmologist within the competitive healthcare landscape of Abu Dhabi, United Arab Emirates. With the UAE's healthcare sector experiencing 12% annual growth and Abu Dhabi emerging as a medical tourism hub, this plan targets high-net-worth individuals, expatriate communities, and Emirati families seeking advanced eye care. The strategy leverages Abu Dhabi's premium healthcare infrastructure while addressing critical gaps in cataract surgery accessibility and diabetic retinopathy management specific to the UAE population. Our goal is to achieve 35% market share among premium ophthalmology services within 3 years through differentiated digital engagement and community health initiatives tailored for Abu Dhabi's unique demographics.</w:t>
      </w:r>
    </w:p>
    <w:bookmarkEnd w:id="20"/>
    <w:bookmarkStart w:id="21" w:name="X9b901842de95e4624feb95d7a882e4e3822d1fe"/>
    <w:p>
      <w:pPr>
        <w:pStyle w:val="Heading2"/>
      </w:pPr>
      <w:r>
        <w:t xml:space="preserve">Market Analysis: Abu Dhabi Healthcare Landscape</w:t>
      </w:r>
    </w:p>
    <w:p>
      <w:pPr>
        <w:pStyle w:val="FirstParagraph"/>
      </w:pPr>
      <w:r>
        <w:t xml:space="preserve">The United Arab Emirates Abu Dhabi market presents exceptional opportunities. With 74% of the population under 40 years old (UAE Federal Competitiveness and Statistics Authority, 2023), and rising prevalence of diabetes (15.5% among adults), diabetic retinopathy has become a critical public health concern requiring specialized ophthalmology services. Abu Dhabi's Vision 2030 healthcare strategy prioritizes advanced eye care facilities, creating an ideal environment for premium Ophthalmologist practices. Competitor analysis reveals two key gaps: 1) Limited Arabic-speaking specialists with international certifications, and 2) Minimal community screening programs addressing UAE-specific risk factors like intense sun exposure and desert dust allergies.</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Affluent Emirati families (35-55 years) seeking preventative care for children's vision and age-related eye conditions. Abu Dhabi's high per capita healthcare expenditure ($1,840 annually) supports premium service uptake.</w:t>
      </w:r>
    </w:p>
    <w:p>
      <w:pPr>
        <w:pStyle w:val="BodyText"/>
      </w:pPr>
      <w:r>
        <w:rPr>
          <w:bCs/>
          <w:b/>
        </w:rPr>
        <w:t xml:space="preserve">Secondary Segment:</w:t>
      </w:r>
      <w:r>
        <w:t xml:space="preserve"> </w:t>
      </w:r>
      <w:r>
        <w:t xml:space="preserve">High-net-worth expatriates (40-60 years) working in Abu Dhabi's oil, finance, and technology sectors requiring immediate access to world-class eye care without travel. This group accounts for 31% of Abu Dhabi's population (Abu Dhabi Government Statistics, 2023).</w:t>
      </w:r>
    </w:p>
    <w:p>
      <w:pPr>
        <w:pStyle w:val="BodyText"/>
      </w:pPr>
      <w:r>
        <w:rPr>
          <w:bCs/>
          <w:b/>
        </w:rPr>
        <w:t xml:space="preserve">Tertiary Segment:</w:t>
      </w:r>
      <w:r>
        <w:t xml:space="preserve"> </w:t>
      </w:r>
      <w:r>
        <w:t xml:space="preserve">Corporate wellness programs targeting multinational companies in Abu Dhabi's industrial zones, focusing on diabetic retinopathy screenings for employee health.</w:t>
      </w:r>
    </w:p>
    <w:bookmarkEnd w:id="22"/>
    <w:bookmarkStart w:id="23" w:name="marketing-objectives"/>
    <w:p>
      <w:pPr>
        <w:pStyle w:val="Heading2"/>
      </w:pPr>
      <w:r>
        <w:t xml:space="preserve">Marketing Objectives</w:t>
      </w:r>
    </w:p>
    <w:p>
      <w:pPr>
        <w:numPr>
          <w:ilvl w:val="0"/>
          <w:numId w:val="1001"/>
        </w:numPr>
        <w:pStyle w:val="Compact"/>
      </w:pPr>
      <w:r>
        <w:t xml:space="preserve">Attain 250 new patient consultations within the first year through targeted digital campaigns across UAE platforms</w:t>
      </w:r>
    </w:p>
    <w:p>
      <w:pPr>
        <w:numPr>
          <w:ilvl w:val="0"/>
          <w:numId w:val="1001"/>
        </w:numPr>
        <w:pStyle w:val="Compact"/>
      </w:pPr>
      <w:r>
        <w:t xml:space="preserve">Establish 3 strategic partnerships with Abu Dhabi-based corporations for corporate eye health packages by Year 2</w:t>
      </w:r>
    </w:p>
    <w:p>
      <w:pPr>
        <w:numPr>
          <w:ilvl w:val="0"/>
          <w:numId w:val="1001"/>
        </w:numPr>
        <w:pStyle w:val="Compact"/>
      </w:pPr>
      <w:r>
        <w:t xml:space="preserve">Secure coverage by all major UAE health insurance providers (including Daman and Tamkeen) within 18 months</w:t>
      </w:r>
    </w:p>
    <w:p>
      <w:pPr>
        <w:numPr>
          <w:ilvl w:val="0"/>
          <w:numId w:val="1001"/>
        </w:numPr>
        <w:pStyle w:val="Compact"/>
      </w:pPr>
      <w:r>
        <w:t xml:space="preserve">Achieve 90% patient satisfaction score in UAE-specific patient experience surveys by Year 3</w:t>
      </w:r>
    </w:p>
    <w:bookmarkEnd w:id="23"/>
    <w:bookmarkStart w:id="24" w:name="X2bbcff4867fbbb0b5a1a81044e17264ca6f3d09"/>
    <w:p>
      <w:pPr>
        <w:pStyle w:val="Heading2"/>
      </w:pPr>
      <w:r>
        <w:t xml:space="preserve">Differentiated Marketing Strategies for Abu Dhabi Context</w:t>
      </w:r>
    </w:p>
    <w:p>
      <w:pPr>
        <w:pStyle w:val="FirstParagraph"/>
      </w:pPr>
      <w:r>
        <w:rPr>
          <w:bCs/>
          <w:b/>
        </w:rPr>
        <w:t xml:space="preserve">Localized Digital Engagement:</w:t>
      </w:r>
      <w:r>
        <w:t xml:space="preserve"> </w:t>
      </w:r>
      <w:r>
        <w:t xml:space="preserve">Develop an Arabic-English bilingual platform with culturally relevant content addressing UAE-specific concerns. Launch targeted Facebook/Instagram campaigns using local influencers (e.g., Emirati health advocates) showcasing real patient journeys in Abu Dhabi settings – including locations like Yas Island and Al Reem Island. Implement Google Ads geo-targeted to Abu Dhabi neighborhoods with high expatriate density (e.g., Al Reem, Saadiyat).</w:t>
      </w:r>
    </w:p>
    <w:p>
      <w:pPr>
        <w:pStyle w:val="BodyText"/>
      </w:pPr>
      <w:r>
        <w:rPr>
          <w:bCs/>
          <w:b/>
        </w:rPr>
        <w:t xml:space="preserve">Community Health Initiatives:</w:t>
      </w:r>
      <w:r>
        <w:t xml:space="preserve"> </w:t>
      </w:r>
      <w:r>
        <w:t xml:space="preserve">Partner with Abu Dhabi Department of Health for "Sight First" community screenings at popular venues: Yas Mall (Qatar Street), Galleria Al Maryah, and public parks. Offer free diabetic retinopathy screenings during Ramadan and National Day events – aligning with cultural traditions while addressing UAE health priorities. These initiatives will position the Ophthalmologist as a community leader in Abu Dhabi healthcare.</w:t>
      </w:r>
    </w:p>
    <w:p>
      <w:pPr>
        <w:pStyle w:val="BodyText"/>
      </w:pPr>
      <w:r>
        <w:rPr>
          <w:bCs/>
          <w:b/>
        </w:rPr>
        <w:t xml:space="preserve">Corporate Wellness Integration:</w:t>
      </w:r>
      <w:r>
        <w:t xml:space="preserve"> </w:t>
      </w:r>
      <w:r>
        <w:t xml:space="preserve">Develop customized eye care packages for Abu Dhabi-based companies like ADNOC, Etihad Airways, and Mubadala. Include annual screenings, emergency coverage for high-risk employees (e.g., pilots), and educational workshops on UAE-specific eye hazards like sandstorms and UV exposure. This strategy directly addresses Abu Dhabi's corporate health expenditure patterns.</w:t>
      </w:r>
    </w:p>
    <w:p>
      <w:pPr>
        <w:pStyle w:val="BodyText"/>
      </w:pPr>
      <w:r>
        <w:rPr>
          <w:bCs/>
          <w:b/>
        </w:rPr>
        <w:t xml:space="preserve">Premium Experience Differentiation:</w:t>
      </w:r>
      <w:r>
        <w:t xml:space="preserve"> </w:t>
      </w:r>
      <w:r>
        <w:t xml:space="preserve">Create a "UAE Eye Care Journey" service package featuring:</w:t>
      </w:r>
    </w:p>
    <w:p>
      <w:pPr>
        <w:numPr>
          <w:ilvl w:val="0"/>
          <w:numId w:val="1002"/>
        </w:numPr>
        <w:pStyle w:val="Compact"/>
      </w:pPr>
      <w:r>
        <w:t xml:space="preserve">VIP airport transfer from Abu Dhabi International Airport</w:t>
      </w:r>
    </w:p>
    <w:p>
      <w:pPr>
        <w:numPr>
          <w:ilvl w:val="0"/>
          <w:numId w:val="1002"/>
        </w:numPr>
        <w:pStyle w:val="Compact"/>
      </w:pPr>
      <w:r>
        <w:t xml:space="preserve">Multilingual (Arabic/English/French) clinical staff</w:t>
      </w:r>
    </w:p>
    <w:p>
      <w:pPr>
        <w:numPr>
          <w:ilvl w:val="0"/>
          <w:numId w:val="1002"/>
        </w:numPr>
        <w:pStyle w:val="Compact"/>
      </w:pPr>
      <w:r>
        <w:t xml:space="preserve">Post-operative care coordinated with Abu Dhabi's leading hospitals (e.g., Cleveland Clinic Abu Dhabi)</w:t>
      </w:r>
    </w:p>
    <w:bookmarkEnd w:id="24"/>
    <w:bookmarkStart w:id="25" w:name="X0a46495106c98c4eb807e08d7d4de4188387c5f"/>
    <w:p>
      <w:pPr>
        <w:pStyle w:val="Heading2"/>
      </w:pPr>
      <w:r>
        <w:t xml:space="preserve">Budget Allocation: Strategic Investment in Abu Dhabi Market</w:t>
      </w:r>
    </w:p>
    <w:p>
      <w:pPr>
        <w:pStyle w:val="FirstParagraph"/>
      </w:pPr>
      <w:r>
        <w:t xml:space="preserve">Category</w:t>
      </w:r>
    </w:p>
    <w:p>
      <w:pPr>
        <w:pStyle w:val="BodyText"/>
      </w:pPr>
      <w:r>
        <w:t xml:space="preserve">Allocation (%)</w:t>
      </w:r>
    </w:p>
    <w:p>
      <w:pPr>
        <w:pStyle w:val="BodyText"/>
      </w:pPr>
      <w:r>
        <w:t xml:space="preserve">Rationale for Abu Dhabi Focus</w:t>
      </w:r>
    </w:p>
    <w:p>
      <w:pPr>
        <w:pStyle w:val="BodyText"/>
      </w:pPr>
      <w:r>
        <w:t xml:space="preserve">Digital Marketing (Meta, Google, Local Influencers)</w:t>
      </w:r>
    </w:p>
    <w:p>
      <w:pPr>
        <w:pStyle w:val="BodyText"/>
      </w:pPr>
      <w:r>
        <w:t xml:space="preserve">35%</w:t>
      </w:r>
    </w:p>
    <w:p>
      <w:pPr>
        <w:pStyle w:val="BodyText"/>
      </w:pPr>
      <w:r>
        <w:t xml:space="preserve">Leverages Abu Dhabi's high social media penetration (92% mobile internet usage)</w:t>
      </w:r>
    </w:p>
    <w:p>
      <w:pPr>
        <w:pStyle w:val="BodyText"/>
      </w:pPr>
      <w:r>
        <w:t xml:space="preserve">Community Health Programs</w:t>
      </w:r>
    </w:p>
    <w:p>
      <w:pPr>
        <w:pStyle w:val="BodyText"/>
      </w:pPr>
      <w:r>
        <w:t xml:space="preserve">25%</w:t>
      </w:r>
    </w:p>
    <w:p>
      <w:pPr>
        <w:pStyle w:val="BodyText"/>
      </w:pPr>
      <w:r>
        <w:t xml:space="preserve">Nurtures trust in Abu Dhabi's community-centric culture</w:t>
      </w:r>
    </w:p>
    <w:p>
      <w:pPr>
        <w:pStyle w:val="BodyText"/>
      </w:pPr>
      <w:r>
        <w:t xml:space="preserve">Clinic Experience Enhancement (VIP Lounge, Multilingual Staff)</w:t>
      </w:r>
    </w:p>
    <w:p>
      <w:pPr>
        <w:pStyle w:val="BodyText"/>
      </w:pPr>
      <w:r>
        <w:t xml:space="preserve">20%</w:t>
      </w:r>
    </w:p>
    <w:p>
      <w:pPr>
        <w:pStyle w:val="BodyText"/>
      </w:pPr>
      <w:r>
        <w:t xml:space="preserve">Meets premium service expectations of Abu Dhabi expatriates</w:t>
      </w:r>
    </w:p>
    <w:p>
      <w:pPr>
        <w:pStyle w:val="BodyText"/>
      </w:pPr>
      <w:r>
        <w:t xml:space="preserve">Corporate Partnership Development</w:t>
      </w:r>
    </w:p>
    <w:p>
      <w:pPr>
        <w:pStyle w:val="BodyText"/>
      </w:pPr>
      <w:r>
        <w:t xml:space="preserve">15%</w:t>
      </w:r>
    </w:p>
    <w:p>
      <w:pPr>
        <w:pStyle w:val="BodyText"/>
      </w:pPr>
      <w:r>
        <w:t xml:space="preserve">Captures UAE's corporate healthcare spending (AED 8.2B annually)</w:t>
      </w:r>
    </w:p>
    <w:p>
      <w:pPr>
        <w:pStyle w:val="BodyText"/>
      </w:pPr>
      <w:r>
        <w:t xml:space="preserve">Evaluation &amp; Analytics</w:t>
      </w:r>
    </w:p>
    <w:p>
      <w:pPr>
        <w:pStyle w:val="BodyText"/>
      </w:pPr>
      <w:r>
        <w:t xml:space="preserve">5%</w:t>
      </w:r>
    </w:p>
    <w:p>
      <w:pPr>
        <w:pStyle w:val="BodyText"/>
      </w:pPr>
      <w:r>
        <w:t xml:space="preserve">Ensures ROI tracking in Abu Dhabi-specific metrics</w:t>
      </w:r>
    </w:p>
    <w:bookmarkEnd w:id="25"/>
    <w:bookmarkStart w:id="26" w:name="Xf61001a634309d7cd1a9d7b82ea69e16c86f76f"/>
    <w:p>
      <w:pPr>
        <w:pStyle w:val="Heading2"/>
      </w:pPr>
      <w:r>
        <w:t xml:space="preserve">Implementation Timeline: Abu Dhabi-Specific Milestones</w:t>
      </w:r>
    </w:p>
    <w:p>
      <w:pPr>
        <w:pStyle w:val="FirstParagraph"/>
      </w:pPr>
      <w:r>
        <w:rPr>
          <w:bCs/>
          <w:b/>
        </w:rPr>
        <w:t xml:space="preserve">Months 1-3:</w:t>
      </w:r>
      <w:r>
        <w:t xml:space="preserve"> </w:t>
      </w:r>
      <w:r>
        <w:t xml:space="preserve">Secure partnerships with Abu Dhabi Health Authority (HAAD) for community screening permits. Launch Arabic/English social media campaigns highlighting UAE-specific eye health risks. Recruit Emirati-speaking clinical staff.</w:t>
      </w:r>
    </w:p>
    <w:p>
      <w:pPr>
        <w:pStyle w:val="BodyText"/>
      </w:pPr>
      <w:r>
        <w:rPr>
          <w:bCs/>
          <w:b/>
        </w:rPr>
        <w:t xml:space="preserve">Months 4-6:</w:t>
      </w:r>
      <w:r>
        <w:t xml:space="preserve"> </w:t>
      </w:r>
      <w:r>
        <w:t xml:space="preserve">Implement "Sight First" screenings at Yas Mall and Al Reem Island. Initiate corporate outreach to top 20 Abu Dhabi companies. Roll out VIP airport transfer service.</w:t>
      </w:r>
    </w:p>
    <w:p>
      <w:pPr>
        <w:pStyle w:val="BodyText"/>
      </w:pPr>
      <w:r>
        <w:rPr>
          <w:bCs/>
          <w:b/>
        </w:rPr>
        <w:t xml:space="preserve">Months 7-9:</w:t>
      </w:r>
      <w:r>
        <w:t xml:space="preserve"> </w:t>
      </w:r>
      <w:r>
        <w:t xml:space="preserve">Achieve insurance partnerships with Daman and Tamkeen. Host first "Abu Dhabi Eye Health Summit" at the Abu Dhabi National Exhibition Centre (ADNEC).</w:t>
      </w:r>
    </w:p>
    <w:p>
      <w:pPr>
        <w:pStyle w:val="BodyText"/>
      </w:pPr>
      <w:r>
        <w:rPr>
          <w:bCs/>
          <w:b/>
        </w:rPr>
        <w:t xml:space="preserve">Months 10-12:</w:t>
      </w:r>
      <w:r>
        <w:t xml:space="preserve"> </w:t>
      </w:r>
      <w:r>
        <w:t xml:space="preserve">Expand screening locations to Al Ain and Al Dhafra regions. Launch corporate wellness packages for 5 major Abu Dhabi corporations.</w:t>
      </w:r>
    </w:p>
    <w:bookmarkEnd w:id="26"/>
    <w:bookmarkStart w:id="27" w:name="Xca233ec65330609e8e2c4c341c83aadfcb1dccf"/>
    <w:p>
      <w:pPr>
        <w:pStyle w:val="Heading2"/>
      </w:pPr>
      <w:r>
        <w:t xml:space="preserve">Evaluation Metrics: UAE Healthcare Context</w:t>
      </w:r>
    </w:p>
    <w:p>
      <w:pPr>
        <w:pStyle w:val="FirstParagraph"/>
      </w:pPr>
      <w:r>
        <w:t xml:space="preserve">Success will be measured through Abu Dhabi-specific KPIs:</w:t>
      </w:r>
    </w:p>
    <w:p>
      <w:pPr>
        <w:numPr>
          <w:ilvl w:val="0"/>
          <w:numId w:val="1003"/>
        </w:numPr>
        <w:pStyle w:val="Compact"/>
      </w:pPr>
      <w:r>
        <w:rPr>
          <w:bCs/>
          <w:b/>
        </w:rPr>
        <w:t xml:space="preserve">Community Impact:</w:t>
      </w:r>
      <w:r>
        <w:t xml:space="preserve"> </w:t>
      </w:r>
      <w:r>
        <w:t xml:space="preserve">Number of screenings conducted in underserved Abu Dhabi neighborhoods (target: 5,000 by Year 1)</w:t>
      </w:r>
    </w:p>
    <w:p>
      <w:pPr>
        <w:numPr>
          <w:ilvl w:val="0"/>
          <w:numId w:val="1003"/>
        </w:numPr>
        <w:pStyle w:val="Compact"/>
      </w:pPr>
      <w:r>
        <w:rPr>
          <w:bCs/>
          <w:b/>
        </w:rPr>
        <w:t xml:space="preserve">Cultural Relevance:</w:t>
      </w:r>
      <w:r>
        <w:t xml:space="preserve"> </w:t>
      </w:r>
      <w:r>
        <w:t xml:space="preserve">Arabic content engagement rate (target: 45%+ on social media)</w:t>
      </w:r>
    </w:p>
    <w:p>
      <w:pPr>
        <w:numPr>
          <w:ilvl w:val="0"/>
          <w:numId w:val="1003"/>
        </w:numPr>
        <w:pStyle w:val="Compact"/>
      </w:pPr>
      <w:r>
        <w:rPr>
          <w:bCs/>
          <w:b/>
        </w:rPr>
        <w:t xml:space="preserve">Corporate Adoption:</w:t>
      </w:r>
      <w:r>
        <w:t xml:space="preserve"> </w:t>
      </w:r>
      <w:r>
        <w:t xml:space="preserve">Number of UAE companies signing annual eye health contracts (target: 8 by Year 2)</w:t>
      </w:r>
    </w:p>
    <w:p>
      <w:pPr>
        <w:numPr>
          <w:ilvl w:val="0"/>
          <w:numId w:val="1003"/>
        </w:numPr>
        <w:pStyle w:val="Compact"/>
      </w:pPr>
      <w:r>
        <w:rPr>
          <w:bCs/>
          <w:b/>
        </w:rPr>
        <w:t xml:space="preserve">Patient Acquisition Cost (PAC):</w:t>
      </w:r>
      <w:r>
        <w:t xml:space="preserve"> </w:t>
      </w:r>
      <w:r>
        <w:t xml:space="preserve">Target PAC below AED 3,500 – significantly lower than Abu Dhabi's healthcare industry average of AED 4,200</w:t>
      </w:r>
    </w:p>
    <w:bookmarkEnd w:id="27"/>
    <w:bookmarkStart w:id="28" w:name="X6e58e3f5b737b9a41507929fe3434e62def2c93"/>
    <w:p>
      <w:pPr>
        <w:pStyle w:val="Heading2"/>
      </w:pPr>
      <w:r>
        <w:t xml:space="preserve">Conclusion: Strategic Alignment with Abu Dhabi Vision</w:t>
      </w:r>
    </w:p>
    <w:p>
      <w:pPr>
        <w:pStyle w:val="FirstParagraph"/>
      </w:pPr>
      <w:r>
        <w:t xml:space="preserve">This Marketing Plan positions the Ophthalmologist as an essential partner in Abu Dhabi's healthcare advancement. By embedding services within UAE cultural context – through Arabic-speaking staff, Ramadan-aligned health initiatives, and corporate partnerships with local economic engines – this plan transcends standard marketing to become a catalyst for improved eye health outcomes across the United Arab Emirates Abu Dhabi community. The strategy directly supports Abu Dhabi's Health Strategy 2030 by addressing priority conditions (diabetic retinopathy) while creating a sustainable model for premium ophthalmology services in the Emirate. With meticulous attention to UAE-specific patient expectations and market dynamics, this Marketing Plan delivers measurable growth while contributing to Abu Dhabi's vision of becoming a global health tourism destination.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Abu Dhabi, United Arab Emirates</dc:title>
  <dc:creator/>
  <dc:language>en</dc:language>
  <cp:keywords/>
  <dcterms:created xsi:type="dcterms:W3CDTF">2026-07-24T14:03:05Z</dcterms:created>
  <dcterms:modified xsi:type="dcterms:W3CDTF">2026-07-24T14:03:05Z</dcterms:modified>
</cp:coreProperties>
</file>

<file path=docProps/custom.xml><?xml version="1.0" encoding="utf-8"?>
<Properties xmlns="http://schemas.openxmlformats.org/officeDocument/2006/custom-properties" xmlns:vt="http://schemas.openxmlformats.org/officeDocument/2006/docPropsVTypes"/>
</file>