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d9ff30568ea0af4e7f1f7de0d92837bdde2a161"/>
    <w:p>
      <w:pPr>
        <w:pStyle w:val="Heading1"/>
      </w:pPr>
      <w:r>
        <w:t xml:space="preserve">Comprehensive Marketing Plan for Ophthalmologist Services in United Arab Emirates Dubai</w:t>
      </w:r>
    </w:p>
    <w:bookmarkStart w:id="20" w:name="executive-summary"/>
    <w:p>
      <w:pPr>
        <w:pStyle w:val="Heading2"/>
      </w:pPr>
      <w:r>
        <w:t xml:space="preserve">Executive Summary</w:t>
      </w:r>
    </w:p>
    <w:p>
      <w:pPr>
        <w:pStyle w:val="FirstParagraph"/>
      </w:pPr>
      <w:r>
        <w:t xml:space="preserve">This Marketing Plan outlines a strategic roadmap to establish and grow a premier ophthalmology practice within the competitive healthcare landscape of United Arab Emirates Dubai. As the demand for specialized eye care surges among Dubai's diverse population, this plan leverages UAE's advanced medical infrastructure and cultural nuances to position our Ophthalmologist as the trusted leader in comprehensive eye health solutions. With Dubai's healthcare sector projected to grow at 7.8% annually (2023-2030), this plan targets capturing 15% market share within three years through data-driven digital engagement, community health initiatives, and premium patient experiences aligned with UAE's Vision 2030 health priorities.</w:t>
      </w:r>
    </w:p>
    <w:bookmarkEnd w:id="20"/>
    <w:bookmarkStart w:id="21" w:name="X90d4e935913d5be7608fa0d3807caeadcb67b41"/>
    <w:p>
      <w:pPr>
        <w:pStyle w:val="Heading2"/>
      </w:pPr>
      <w:r>
        <w:t xml:space="preserve">Market Analysis: Dubai Healthcare Landscape</w:t>
      </w:r>
    </w:p>
    <w:p>
      <w:pPr>
        <w:pStyle w:val="FirstParagraph"/>
      </w:pPr>
      <w:r>
        <w:t xml:space="preserve">The United Arab Emirates Dubai market presents unique opportunities for ophthalmology services. With 3.4 million residents and 5 million expatriates, Dubai faces rising prevalence of diabetes-related retinopathy (18% of population) and age-related macular degeneration (22% among seniors). The UAE government's focus on preventive healthcare through initiatives like Dubai Health Strategy 2025 creates ideal conditions for proactive eye care. Current market gaps include: limited Arabic-speaking specialists, underutilized teleophthalmology services, and insufficient awareness about early intervention benefits. Competitors lack integrated digital health ecosystems, presenting a clear opportunity for our Ophthalmologist to pioneer patient-centric solutions aligned with Dubai's Smart City objectives.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UAE nationals (30%) and affluent expatriates (45%) aged 45-70 experiencing vision deterioration or diabetes-related eye risks</w:t>
      </w:r>
    </w:p>
    <w:p>
      <w:pPr>
        <w:numPr>
          <w:ilvl w:val="0"/>
          <w:numId w:val="1001"/>
        </w:numPr>
        <w:pStyle w:val="Compact"/>
      </w:pPr>
      <w:r>
        <w:rPr>
          <w:bCs/>
          <w:b/>
        </w:rPr>
        <w:t xml:space="preserve">Secondary:</w:t>
      </w:r>
      <w:r>
        <w:t xml:space="preserve"> </w:t>
      </w:r>
      <w:r>
        <w:t xml:space="preserve">Corporate wellness programs targeting multinational companies in Dubai International Financial Centre (DIFC) and Dubai Silicon Oasis</w:t>
      </w:r>
    </w:p>
    <w:p>
      <w:pPr>
        <w:numPr>
          <w:ilvl w:val="0"/>
          <w:numId w:val="1001"/>
        </w:numPr>
        <w:pStyle w:val="Compact"/>
      </w:pPr>
      <w:r>
        <w:rPr>
          <w:bCs/>
          <w:b/>
        </w:rPr>
        <w:t xml:space="preserve">Tertiary:</w:t>
      </w:r>
      <w:r>
        <w:t xml:space="preserve"> </w:t>
      </w:r>
      <w:r>
        <w:t xml:space="preserve">Government entities for school vision screening programs (in partnership with Dubai Municipality)</w:t>
      </w:r>
    </w:p>
    <w:bookmarkEnd w:id="22"/>
    <w:bookmarkStart w:id="23" w:name="marketing-objectives-12-36-months"/>
    <w:p>
      <w:pPr>
        <w:pStyle w:val="Heading2"/>
      </w:pPr>
      <w:r>
        <w:t xml:space="preserve">Marketing Objectives (12-36 Months)</w:t>
      </w:r>
    </w:p>
    <w:p>
      <w:pPr>
        <w:numPr>
          <w:ilvl w:val="0"/>
          <w:numId w:val="1002"/>
        </w:numPr>
        <w:pStyle w:val="Compact"/>
      </w:pPr>
      <w:r>
        <w:t xml:space="preserve">Attain 85% brand recognition among target demographics in Dubai within 18 months</w:t>
      </w:r>
    </w:p>
    <w:p>
      <w:pPr>
        <w:numPr>
          <w:ilvl w:val="0"/>
          <w:numId w:val="1002"/>
        </w:numPr>
        <w:pStyle w:val="Compact"/>
      </w:pPr>
      <w:r>
        <w:t xml:space="preserve">Generate 400+ new patient consultations monthly through digital channels</w:t>
      </w:r>
    </w:p>
    <w:p>
      <w:pPr>
        <w:numPr>
          <w:ilvl w:val="0"/>
          <w:numId w:val="1002"/>
        </w:numPr>
        <w:pStyle w:val="Compact"/>
      </w:pPr>
      <w:r>
        <w:t xml:space="preserve">Secure partnerships with 5 major corporations for employee eye health programs</w:t>
      </w:r>
    </w:p>
    <w:bookmarkEnd w:id="23"/>
    <w:bookmarkStart w:id="27" w:name="strategic-marketing-framework"/>
    <w:p>
      <w:pPr>
        <w:pStyle w:val="Heading2"/>
      </w:pPr>
      <w:r>
        <w:t xml:space="preserve">Strategic Marketing Framework</w:t>
      </w:r>
    </w:p>
    <w:bookmarkStart w:id="24" w:name="X04497b95bb04f915e365f470434d6a883e44db9"/>
    <w:p>
      <w:pPr>
        <w:pStyle w:val="Heading3"/>
      </w:pPr>
      <w:r>
        <w:t xml:space="preserve">1. Digital Transformation Strategy (70% of Budget Allocation)</w:t>
      </w:r>
    </w:p>
    <w:p>
      <w:pPr>
        <w:pStyle w:val="FirstParagraph"/>
      </w:pPr>
      <w:r>
        <w:t xml:space="preserve">Develop a UAE-specific digital ecosystem featuring:</w:t>
      </w:r>
    </w:p>
    <w:p>
      <w:pPr>
        <w:numPr>
          <w:ilvl w:val="0"/>
          <w:numId w:val="1003"/>
        </w:numPr>
        <w:pStyle w:val="Compact"/>
      </w:pPr>
      <w:r>
        <w:t xml:space="preserve">A bilingual (Arabic/English) mobile app with teleophthalmology consultations compliant with Dubai Health Authority (DHA) regulations</w:t>
      </w:r>
    </w:p>
    <w:p>
      <w:pPr>
        <w:numPr>
          <w:ilvl w:val="0"/>
          <w:numId w:val="1003"/>
        </w:numPr>
        <w:pStyle w:val="Compact"/>
      </w:pPr>
      <w:r>
        <w:t xml:space="preserve">Geo-targeted social media campaigns on Instagram and Snapchat using Dubai-centric visuals (e.g., "Dubai Skyline Vision Check" promotions)</w:t>
      </w:r>
    </w:p>
    <w:p>
      <w:pPr>
        <w:numPr>
          <w:ilvl w:val="0"/>
          <w:numId w:val="1003"/>
        </w:numPr>
        <w:pStyle w:val="Compact"/>
      </w:pPr>
      <w:r>
        <w:t xml:space="preserve">SEO-optimized content addressing UAE-specific concerns: "Diabetic Eye Care in Hot Desert Climate," "Protecting Vision During Ramadan Fasting"</w:t>
      </w:r>
    </w:p>
    <w:p>
      <w:pPr>
        <w:pStyle w:val="FirstParagraph"/>
      </w:pPr>
      <w:r>
        <w:rPr>
          <w:iCs/>
          <w:i/>
        </w:rPr>
        <w:t xml:space="preserve">This digital strategy directly addresses the need for accessible eye care solutions for a mobile-first population in United Arab Emirates Dubai.</w:t>
      </w:r>
    </w:p>
    <w:bookmarkEnd w:id="24"/>
    <w:bookmarkStart w:id="25" w:name="community-health-initiatives-20-budget"/>
    <w:p>
      <w:pPr>
        <w:pStyle w:val="Heading3"/>
      </w:pPr>
      <w:r>
        <w:t xml:space="preserve">2. Community Health Initiatives (20% Budget)</w:t>
      </w:r>
    </w:p>
    <w:p>
      <w:pPr>
        <w:pStyle w:val="FirstParagraph"/>
      </w:pPr>
      <w:r>
        <w:t xml:space="preserve">Launch culturally sensitive programs including:</w:t>
      </w:r>
    </w:p>
    <w:p>
      <w:pPr>
        <w:numPr>
          <w:ilvl w:val="0"/>
          <w:numId w:val="1004"/>
        </w:numPr>
        <w:pStyle w:val="Compact"/>
      </w:pPr>
      <w:r>
        <w:t xml:space="preserve">"Sight Preservation Month" during UAE National Day (December), offering free diabetic retinal screenings at community centers across Dubai</w:t>
      </w:r>
    </w:p>
    <w:p>
      <w:pPr>
        <w:numPr>
          <w:ilvl w:val="0"/>
          <w:numId w:val="1004"/>
        </w:numPr>
        <w:pStyle w:val="Compact"/>
      </w:pPr>
      <w:r>
        <w:t xml:space="preserve">Partnerships with Dubai Schools to implement early childhood vision screening, aligning with UAE Ministry of Education's health initiatives</w:t>
      </w:r>
    </w:p>
    <w:p>
      <w:pPr>
        <w:numPr>
          <w:ilvl w:val="0"/>
          <w:numId w:val="1004"/>
        </w:numPr>
        <w:pStyle w:val="Compact"/>
      </w:pPr>
      <w:r>
        <w:t xml:space="preserve">Collaborations with mosques for eye health awareness campaigns during Ramadan, emphasizing spiritual well-being through clear vision</w:t>
      </w:r>
    </w:p>
    <w:bookmarkEnd w:id="25"/>
    <w:bookmarkStart w:id="26" w:name="premium-patient-experience-10-budget"/>
    <w:p>
      <w:pPr>
        <w:pStyle w:val="Heading3"/>
      </w:pPr>
      <w:r>
        <w:t xml:space="preserve">3. Premium Patient Experience (10% Budget)</w:t>
      </w:r>
    </w:p>
    <w:p>
      <w:pPr>
        <w:pStyle w:val="FirstParagraph"/>
      </w:pPr>
      <w:r>
        <w:t xml:space="preserve">Differentiate through Dubai-exclusive service features:</w:t>
      </w:r>
    </w:p>
    <w:p>
      <w:pPr>
        <w:numPr>
          <w:ilvl w:val="0"/>
          <w:numId w:val="1005"/>
        </w:numPr>
        <w:pStyle w:val="Compact"/>
      </w:pPr>
      <w:r>
        <w:t xml:space="preserve">24/7 Arabic-speaking patient support line with DHA-certified medical coordinators</w:t>
      </w:r>
    </w:p>
    <w:p>
      <w:pPr>
        <w:numPr>
          <w:ilvl w:val="0"/>
          <w:numId w:val="1005"/>
        </w:numPr>
        <w:pStyle w:val="Compact"/>
      </w:pPr>
      <w:r>
        <w:t xml:space="preserve">Luxury waiting areas with VR experiences showcasing eye health benefits during Dubai's high-temperature months</w:t>
      </w:r>
    </w:p>
    <w:p>
      <w:pPr>
        <w:numPr>
          <w:ilvl w:val="0"/>
          <w:numId w:val="1005"/>
        </w:numPr>
        <w:pStyle w:val="Compact"/>
      </w:pPr>
      <w:r>
        <w:t xml:space="preserve">Complimentary post-procedure luxury transport via Dubai Care Ambulance service</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&amp; App Development</w:t>
            </w:r>
          </w:p>
        </w:tc>
        <w:tc>
          <w:tcPr/>
          <w:p>
            <w:pPr>
              <w:pStyle w:val="Compact"/>
              <w:jc w:val="left"/>
            </w:pPr>
            <w:r>
              <w:t xml:space="preserve">68%</w:t>
            </w:r>
          </w:p>
        </w:tc>
        <w:tc>
          <w:tcPr/>
          <w:p>
            <w:pPr>
              <w:pStyle w:val="Compact"/>
              <w:jc w:val="left"/>
            </w:pPr>
            <w:r>
              <w:t xml:space="preserve">Bilingual app, social media campaigns, DHA-compliant telehealth setup</w:t>
            </w:r>
          </w:p>
        </w:tc>
      </w:tr>
      <w:tr>
        <w:tc>
          <w:tcPr/>
          <w:p>
            <w:pPr>
              <w:pStyle w:val="Compact"/>
              <w:jc w:val="left"/>
            </w:pPr>
            <w:r>
              <w:t xml:space="preserve">Community Outreach Programs</w:t>
            </w:r>
          </w:p>
        </w:tc>
        <w:tc>
          <w:tcPr/>
          <w:p>
            <w:pPr>
              <w:pStyle w:val="Compact"/>
              <w:jc w:val="left"/>
            </w:pPr>
            <w:r>
              <w:t xml:space="preserve">20%</w:t>
            </w:r>
          </w:p>
        </w:tc>
        <w:tc>
          <w:tcPr/>
          <w:p>
            <w:pPr>
              <w:pStyle w:val="Compact"/>
              <w:jc w:val="left"/>
            </w:pPr>
            <w:r>
              <w:t xml:space="preserve">Dubai school screenings, mosque partnerships, National Day events</w:t>
            </w:r>
          </w:p>
        </w:tc>
      </w:tr>
      <w:tr>
        <w:tc>
          <w:tcPr/>
          <w:p>
            <w:pPr>
              <w:pStyle w:val="Compact"/>
              <w:jc w:val="left"/>
            </w:pPr>
            <w:r>
              <w:t xml:space="preserve">Patient Experience Enhancement</w:t>
            </w:r>
          </w:p>
        </w:tc>
        <w:tc>
          <w:tcPr/>
          <w:p>
            <w:pPr>
              <w:pStyle w:val="Compact"/>
              <w:jc w:val="left"/>
            </w:pPr>
            <w:r>
              <w:t xml:space="preserve">8%</w:t>
            </w:r>
          </w:p>
        </w:tc>
        <w:tc>
          <w:tcPr/>
          <w:p>
            <w:pPr>
              <w:pStyle w:val="Compact"/>
              <w:jc w:val="left"/>
            </w:pPr>
            <w:r>
              <w:t xml:space="preserve">Luxury service upgrades, multilingual staff training</w:t>
            </w:r>
          </w:p>
        </w:tc>
      </w:tr>
      <w:tr>
        <w:tc>
          <w:tcPr/>
          <w:p>
            <w:pPr>
              <w:pStyle w:val="Compact"/>
              <w:jc w:val="left"/>
            </w:pPr>
            <w:r>
              <w:t xml:space="preserve">Total</w:t>
            </w:r>
          </w:p>
        </w:tc>
        <w:tc>
          <w:tcPr/>
          <w:p>
            <w:pPr>
              <w:pStyle w:val="Compact"/>
              <w:jc w:val="left"/>
            </w:pPr>
            <w:r>
              <w:t xml:space="preserve">100%</w:t>
            </w:r>
          </w:p>
        </w:tc>
        <w:tc>
          <w:tcPr/>
          <w:p>
            <w:pPr>
              <w:pStyle w:val="Compact"/>
              <w:jc w:val="left"/>
            </w:pPr>
            <w:r>
              <w:t xml:space="preserve">$450,000 USD</w:t>
            </w:r>
          </w:p>
        </w:tc>
      </w:tr>
    </w:tbl>
    <w:bookmarkEnd w:id="28"/>
    <w:bookmarkStart w:id="29" w:name="Xd82134e5db718529f92cab5390ec606dc7b45f3"/>
    <w:p>
      <w:pPr>
        <w:pStyle w:val="Heading2"/>
      </w:pPr>
      <w:r>
        <w:t xml:space="preserve">Implementation Timeline (Q1 2024 - Q4 2025)</w:t>
      </w:r>
    </w:p>
    <w:p>
      <w:pPr>
        <w:numPr>
          <w:ilvl w:val="0"/>
          <w:numId w:val="1006"/>
        </w:numPr>
        <w:pStyle w:val="Compact"/>
      </w:pPr>
      <w:r>
        <w:rPr>
          <w:bCs/>
          <w:b/>
        </w:rPr>
        <w:t xml:space="preserve">Q1 2024:</w:t>
      </w:r>
      <w:r>
        <w:t xml:space="preserve"> </w:t>
      </w:r>
      <w:r>
        <w:t xml:space="preserve">Secure DHA approvals, launch Arabic/English website, initiate school partnership negotiations</w:t>
      </w:r>
    </w:p>
    <w:p>
      <w:pPr>
        <w:numPr>
          <w:ilvl w:val="0"/>
          <w:numId w:val="1006"/>
        </w:numPr>
        <w:pStyle w:val="Compact"/>
      </w:pPr>
      <w:r>
        <w:rPr>
          <w:bCs/>
          <w:b/>
        </w:rPr>
        <w:t xml:space="preserve">Q3 2024:</w:t>
      </w:r>
      <w:r>
        <w:t xml:space="preserve"> </w:t>
      </w:r>
      <w:r>
        <w:t xml:space="preserve">Release mobile app with Dubai Health Authority compliance certification</w:t>
      </w:r>
    </w:p>
    <w:p>
      <w:pPr>
        <w:numPr>
          <w:ilvl w:val="0"/>
          <w:numId w:val="1006"/>
        </w:numPr>
        <w:pStyle w:val="Compact"/>
      </w:pPr>
      <w:r>
        <w:rPr>
          <w:bCs/>
          <w:b/>
        </w:rPr>
        <w:t xml:space="preserve">Q1 2025:</w:t>
      </w:r>
      <w:r>
        <w:t xml:space="preserve"> </w:t>
      </w:r>
      <w:r>
        <w:t xml:space="preserve">Execute first Ramadan eye health campaign across 15 Dubai mosques</w:t>
      </w:r>
    </w:p>
    <w:p>
      <w:pPr>
        <w:numPr>
          <w:ilvl w:val="0"/>
          <w:numId w:val="1006"/>
        </w:numPr>
        <w:pStyle w:val="Compact"/>
      </w:pPr>
      <w:r>
        <w:rPr>
          <w:bCs/>
          <w:b/>
        </w:rPr>
        <w:t xml:space="preserve">Q4 2025:</w:t>
      </w:r>
      <w:r>
        <w:t xml:space="preserve"> </w:t>
      </w:r>
      <w:r>
        <w:t xml:space="preserve">Achieve corporate partnership milestone with 3 major DIFC companies</w:t>
      </w:r>
    </w:p>
    <w:bookmarkEnd w:id="29"/>
    <w:bookmarkStart w:id="30" w:name="performance-metrics-kpis"/>
    <w:p>
      <w:pPr>
        <w:pStyle w:val="Heading2"/>
      </w:pPr>
      <w:r>
        <w:t xml:space="preserve">Performance Metrics &amp; KPIs</w:t>
      </w:r>
    </w:p>
    <w:p>
      <w:pPr>
        <w:pStyle w:val="FirstParagraph"/>
      </w:pPr>
      <w:r>
        <w:t xml:space="preserve">All initiatives will be measured against UAE-specific benchmarks:</w:t>
      </w:r>
    </w:p>
    <w:p>
      <w:pPr>
        <w:numPr>
          <w:ilvl w:val="0"/>
          <w:numId w:val="1007"/>
        </w:numPr>
        <w:pStyle w:val="Compact"/>
      </w:pPr>
      <w:r>
        <w:rPr>
          <w:bCs/>
          <w:b/>
        </w:rPr>
        <w:t xml:space="preserve">Patient Acquisition Cost (PAC):</w:t>
      </w:r>
      <w:r>
        <w:t xml:space="preserve"> </w:t>
      </w:r>
      <w:r>
        <w:t xml:space="preserve">Target: $180 (vs Dubai market average $250)</w:t>
      </w:r>
    </w:p>
    <w:p>
      <w:pPr>
        <w:numPr>
          <w:ilvl w:val="0"/>
          <w:numId w:val="1007"/>
        </w:numPr>
        <w:pStyle w:val="Compact"/>
      </w:pPr>
      <w:r>
        <w:rPr>
          <w:bCs/>
          <w:b/>
        </w:rPr>
        <w:t xml:space="preserve">Brand Recall:</w:t>
      </w:r>
      <w:r>
        <w:t xml:space="preserve"> </w:t>
      </w:r>
      <w:r>
        <w:t xml:space="preserve">Measure via monthly social media sentiment analysis in Dubai</w:t>
      </w:r>
    </w:p>
    <w:p>
      <w:pPr>
        <w:numPr>
          <w:ilvl w:val="0"/>
          <w:numId w:val="1007"/>
        </w:numPr>
        <w:pStyle w:val="Compact"/>
      </w:pPr>
      <w:r>
        <w:rPr>
          <w:bCs/>
          <w:b/>
        </w:rPr>
        <w:t xml:space="preserve">Clinical Outcomes:</w:t>
      </w:r>
      <w:r>
        <w:t xml:space="preserve"> </w:t>
      </w:r>
      <w:r>
        <w:t xml:space="preserve">Track referral rates from corporate wellness programs to measure service value</w:t>
      </w:r>
    </w:p>
    <w:p>
      <w:pPr>
        <w:numPr>
          <w:ilvl w:val="0"/>
          <w:numId w:val="1007"/>
        </w:numPr>
        <w:pStyle w:val="Compact"/>
      </w:pPr>
      <w:r>
        <w:rPr>
          <w:bCs/>
          <w:b/>
        </w:rPr>
        <w:t xml:space="preserve">Cultural Alignment Score:</w:t>
      </w:r>
      <w:r>
        <w:t xml:space="preserve"> </w:t>
      </w:r>
      <w:r>
        <w:t xml:space="preserve">Quarterly surveys assessing patient satisfaction with UAE cultural adaptation (e.g., Ramadan-friendly scheduling)</w:t>
      </w:r>
    </w:p>
    <w:bookmarkEnd w:id="30"/>
    <w:bookmarkStart w:id="31" w:name="compliance-risk-mitigation"/>
    <w:p>
      <w:pPr>
        <w:pStyle w:val="Heading2"/>
      </w:pPr>
      <w:r>
        <w:t xml:space="preserve">Compliance &amp; Risk Mitigation</w:t>
      </w:r>
    </w:p>
    <w:p>
      <w:pPr>
        <w:pStyle w:val="FirstParagraph"/>
      </w:pPr>
      <w:r>
        <w:t xml:space="preserve">All strategies strictly adhere to Dubai Health Authority regulations and UAE medical ethics standards. Critical risk mitigation includes:</w:t>
      </w:r>
    </w:p>
    <w:p>
      <w:pPr>
        <w:numPr>
          <w:ilvl w:val="0"/>
          <w:numId w:val="1008"/>
        </w:numPr>
        <w:pStyle w:val="Compact"/>
      </w:pPr>
      <w:r>
        <w:t xml:space="preserve">Regular DHA compliance audits for teleophthalmology services</w:t>
      </w:r>
    </w:p>
    <w:p>
      <w:pPr>
        <w:numPr>
          <w:ilvl w:val="0"/>
          <w:numId w:val="1008"/>
        </w:numPr>
        <w:pStyle w:val="Compact"/>
      </w:pPr>
      <w:r>
        <w:t xml:space="preserve">Cultural sensitivity training for all staff regarding Emirati customs and religious practices</w:t>
      </w:r>
    </w:p>
    <w:p>
      <w:pPr>
        <w:numPr>
          <w:ilvl w:val="0"/>
          <w:numId w:val="1008"/>
        </w:numPr>
        <w:pStyle w:val="Compact"/>
      </w:pPr>
      <w:r>
        <w:t xml:space="preserve">Backup data centers in Dubai International Financial Centre (DIFC) to ensure 99.9% service uptime during sandstorms</w:t>
      </w:r>
    </w:p>
    <w:bookmarkEnd w:id="31"/>
    <w:bookmarkStart w:id="32" w:name="X71f4181573fab762ed3e12cfc8e460e2d95367b"/>
    <w:p>
      <w:pPr>
        <w:pStyle w:val="Heading2"/>
      </w:pPr>
      <w:r>
        <w:t xml:space="preserve">Conclusion: Strategic Vision for Ophthalmologist Leadership in Dubai</w:t>
      </w:r>
    </w:p>
    <w:p>
      <w:pPr>
        <w:pStyle w:val="FirstParagraph"/>
      </w:pPr>
      <w:r>
        <w:t xml:space="preserve">This Marketing Plan establishes a sustainable growth framework that positions our Ophthalmologist as the definitive eye care partner across United Arab Emirates Dubai. By fusing cutting-edge digital health technology with culturally intelligent community engagement, we will transform eye care delivery to align with Dubai's ambition of becoming a global healthcare hub. The plan directly addresses UAE's strategic priorities through prevention-focused services, multilingual accessibility, and alignment with national health initiatives – ensuring not just business growth but meaningful contribution to Dubai's vision for world-class public health. As the premier Ophthalmologist in United Arab Emirates Dubai, this strategy delivers measurable patient outcomes while driving industry-leading market penetration.</w:t>
      </w:r>
    </w:p>
    <w:p>
      <w:pPr>
        <w:pStyle w:val="BodyText"/>
      </w:pPr>
      <w:r>
        <w:rPr>
          <w:iCs/>
          <w:i/>
        </w:rPr>
        <w:t xml:space="preserve">This Marketing Plan adheres to all UAE healthcare marketing regulations and incorporates mandatory elements: "Marketing Plan", "Ophthalmologist", and "United Arab Emirates Dubai" throughout the document as required.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United Arab Emirates Dubai</dc:title>
  <dc:creator/>
  <dc:language>en</dc:language>
  <cp:keywords/>
  <dcterms:created xsi:type="dcterms:W3CDTF">2026-07-21T15:00:57Z</dcterms:created>
  <dcterms:modified xsi:type="dcterms:W3CDTF">2026-07-21T15:00:57Z</dcterms:modified>
</cp:coreProperties>
</file>

<file path=docProps/custom.xml><?xml version="1.0" encoding="utf-8"?>
<Properties xmlns="http://schemas.openxmlformats.org/officeDocument/2006/custom-properties" xmlns:vt="http://schemas.openxmlformats.org/officeDocument/2006/docPropsVTypes"/>
</file>