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Ophthalmology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5e0a154de24eda8e74352bde6e38686f288fcd"/>
    <w:p>
      <w:pPr>
        <w:pStyle w:val="Heading1"/>
      </w:pPr>
      <w:r>
        <w:t xml:space="preserve">Marketing Plan for a Premier Ophthalmologist Practice in United Kingdom London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leading ophthalmology practice within the competitive healthcare landscape of United Kingdom London. Targeting affluent, health-conscious residents across Central and West London, the plan leverages digital innovation, NHS partnerships, and community engagement to position our Ophthalmologist as the trusted specialist for advanced eye care. With London’s population aging rapidly and rising demand for premium vision correction services (projected 12% growth by 2027), this plan ensures sustainable growth while adhering strictly to UK healthcare regulations.</w:t>
      </w:r>
    </w:p>
    <w:bookmarkEnd w:id="20"/>
    <w:bookmarkStart w:id="21" w:name="Xcd25393dd03899d77caabdee0a7882d2c91ab2c"/>
    <w:p>
      <w:pPr>
        <w:pStyle w:val="Heading2"/>
      </w:pPr>
      <w:r>
        <w:t xml:space="preserve">Market Analysis: United Kingdom London Context</w:t>
      </w:r>
    </w:p>
    <w:p>
      <w:pPr>
        <w:pStyle w:val="FirstParagraph"/>
      </w:pPr>
      <w:r>
        <w:t xml:space="preserve">London presents a unique market for ophthalmology services, characterized by high disposable income, intense competition among private providers (e.g., Moorfields Eye Hospital alternatives), and significant NHS pressure. Key insights include:</w:t>
      </w:r>
    </w:p>
    <w:p>
      <w:pPr>
        <w:numPr>
          <w:ilvl w:val="0"/>
          <w:numId w:val="1001"/>
        </w:numPr>
        <w:pStyle w:val="Compact"/>
      </w:pPr>
      <w:r>
        <w:rPr>
          <w:bCs/>
          <w:b/>
        </w:rPr>
        <w:t xml:space="preserve">NHS Burden:</w:t>
      </w:r>
      <w:r>
        <w:t xml:space="preserve"> </w:t>
      </w:r>
      <w:r>
        <w:t xml:space="preserve">85% of Londoners rely on NHS eye care, leading to average waiting times of 12–16 weeks for non-urgent procedures—creating a strong private market opportunity.</w:t>
      </w:r>
    </w:p>
    <w:p>
      <w:pPr>
        <w:numPr>
          <w:ilvl w:val="0"/>
          <w:numId w:val="1001"/>
        </w:numPr>
        <w:pStyle w:val="Compact"/>
      </w:pPr>
      <w:r>
        <w:rPr>
          <w:bCs/>
          <w:b/>
        </w:rPr>
        <w:t xml:space="preserve">Demographics:</w:t>
      </w:r>
      <w:r>
        <w:t xml:space="preserve"> </w:t>
      </w:r>
      <w:r>
        <w:t xml:space="preserve">42% of London residents aged 50+ require regular ophthalmic monitoring (RNIB data), with affluent zones like Mayfair, Kensington, and the West End driving demand for premium care.</w:t>
      </w:r>
    </w:p>
    <w:p>
      <w:pPr>
        <w:numPr>
          <w:ilvl w:val="0"/>
          <w:numId w:val="1001"/>
        </w:numPr>
        <w:pStyle w:val="Compact"/>
      </w:pPr>
      <w:r>
        <w:rPr>
          <w:bCs/>
          <w:b/>
        </w:rPr>
        <w:t xml:space="preserve">Competitive Gap:</w:t>
      </w:r>
      <w:r>
        <w:t xml:space="preserve"> </w:t>
      </w:r>
      <w:r>
        <w:t xml:space="preserve">Few private Ophthalmologists in Central London combine NHS-level expertise with digital-first patient experience—our differentiator.</w:t>
      </w:r>
    </w:p>
    <w:bookmarkEnd w:id="21"/>
    <w:bookmarkStart w:id="22" w:name="target-audience"/>
    <w:p>
      <w:pPr>
        <w:pStyle w:val="Heading2"/>
      </w:pPr>
      <w:r>
        <w:t xml:space="preserve">Target Audience</w:t>
      </w:r>
    </w:p>
    <w:p>
      <w:pPr>
        <w:pStyle w:val="FirstParagraph"/>
      </w:pPr>
      <w:r>
        <w:t xml:space="preserve">We focus on three core segments within United Kingdom London:</w:t>
      </w:r>
    </w:p>
    <w:p>
      <w:pPr>
        <w:numPr>
          <w:ilvl w:val="0"/>
          <w:numId w:val="1002"/>
        </w:numPr>
        <w:pStyle w:val="Compact"/>
      </w:pPr>
      <w:r>
        <w:rPr>
          <w:bCs/>
          <w:b/>
        </w:rPr>
        <w:t xml:space="preserve">Affluent Professionals (35–65 years):</w:t>
      </w:r>
      <w:r>
        <w:t xml:space="preserve"> </w:t>
      </w:r>
      <w:r>
        <w:t xml:space="preserve">High earners in financial services (City of London), legal sectors, and creative industries seeking fast-track appointments for LASIK, cataract surgery, or glaucoma management.</w:t>
      </w:r>
    </w:p>
    <w:p>
      <w:pPr>
        <w:numPr>
          <w:ilvl w:val="0"/>
          <w:numId w:val="1002"/>
        </w:numPr>
        <w:pStyle w:val="Compact"/>
      </w:pPr>
      <w:r>
        <w:rPr>
          <w:bCs/>
          <w:b/>
        </w:rPr>
        <w:t xml:space="preserve">NHS Referral Partners:</w:t>
      </w:r>
      <w:r>
        <w:t xml:space="preserve"> </w:t>
      </w:r>
      <w:r>
        <w:t xml:space="preserve">General Practitioners and hospitals across Greater London (e.g., Royal Free, St. Thomas') who require reliable private ophthalmology support for patient pathways.</w:t>
      </w:r>
    </w:p>
    <w:p>
      <w:pPr>
        <w:numPr>
          <w:ilvl w:val="0"/>
          <w:numId w:val="1002"/>
        </w:numPr>
        <w:pStyle w:val="Compact"/>
      </w:pPr>
      <w:r>
        <w:rPr>
          <w:bCs/>
          <w:b/>
        </w:rPr>
        <w:t xml:space="preserve">Health-Conscious Families:</w:t>
      </w:r>
      <w:r>
        <w:t xml:space="preserve"> </w:t>
      </w:r>
      <w:r>
        <w:t xml:space="preserve">Parents of children with strabismus or amblyopia in boroughs like Camden and Islington, prioritizing specialist pediatric care.</w:t>
      </w:r>
    </w:p>
    <w:bookmarkEnd w:id="22"/>
    <w:bookmarkStart w:id="23" w:name="brand-positioning-value-proposition"/>
    <w:p>
      <w:pPr>
        <w:pStyle w:val="Heading2"/>
      </w:pPr>
      <w:r>
        <w:t xml:space="preserve">Brand Positioning &amp; Value Proposition</w:t>
      </w:r>
    </w:p>
    <w:p>
      <w:pPr>
        <w:pStyle w:val="FirstParagraph"/>
      </w:pPr>
      <w:r>
        <w:t xml:space="preserve">The practice will be positioned as "</w:t>
      </w:r>
      <w:r>
        <w:rPr>
          <w:iCs/>
          <w:i/>
        </w:rPr>
        <w:t xml:space="preserve">The Premier Ophthalmologist in London: Where Expertise Meets Personalized Care</w:t>
      </w:r>
      <w:r>
        <w:t xml:space="preserve">". This emphasizes:</w:t>
      </w:r>
    </w:p>
    <w:p>
      <w:pPr>
        <w:numPr>
          <w:ilvl w:val="0"/>
          <w:numId w:val="1003"/>
        </w:numPr>
        <w:pStyle w:val="Compact"/>
      </w:pPr>
      <w:r>
        <w:rPr>
          <w:bCs/>
          <w:b/>
        </w:rPr>
        <w:t xml:space="preserve">Specialist Credibility:</w:t>
      </w:r>
      <w:r>
        <w:t xml:space="preserve"> </w:t>
      </w:r>
      <w:r>
        <w:t xml:space="preserve">Our Ophthalmologist holds MBChB, FRCS (Ophth), and NHS consultant status—ensuring UK regulatory compliance and clinical excellence.</w:t>
      </w:r>
    </w:p>
    <w:p>
      <w:pPr>
        <w:numPr>
          <w:ilvl w:val="0"/>
          <w:numId w:val="1003"/>
        </w:numPr>
        <w:pStyle w:val="Compact"/>
      </w:pPr>
      <w:r>
        <w:rPr>
          <w:bCs/>
          <w:b/>
        </w:rPr>
        <w:t xml:space="preserve">Premium Patient Journey:</w:t>
      </w:r>
      <w:r>
        <w:t xml:space="preserve"> </w:t>
      </w:r>
      <w:r>
        <w:t xml:space="preserve">Seamless digital experience: online booking via NHS-approved platforms, same-day virtual consultations, and transparent pricing for all services in London.</w:t>
      </w:r>
    </w:p>
    <w:p>
      <w:pPr>
        <w:numPr>
          <w:ilvl w:val="0"/>
          <w:numId w:val="1003"/>
        </w:numPr>
        <w:pStyle w:val="Compact"/>
      </w:pPr>
      <w:r>
        <w:rPr>
          <w:bCs/>
          <w:b/>
        </w:rPr>
        <w:t xml:space="preserve">Community Trust:</w:t>
      </w:r>
      <w:r>
        <w:t xml:space="preserve"> </w:t>
      </w:r>
      <w:r>
        <w:t xml:space="preserve">Partnership with London charities (e.g., RNIB) to fund free eye screenings in deprived areas like Tower Hamlets—aligning with UK social responsibility expectations.</w:t>
      </w:r>
    </w:p>
    <w:bookmarkEnd w:id="23"/>
    <w:bookmarkStart w:id="24" w:name="marketing-strategies-tactics"/>
    <w:p>
      <w:pPr>
        <w:pStyle w:val="Heading2"/>
      </w:pPr>
      <w:r>
        <w:t xml:space="preserve">Marketing Strategies &amp; Tactics</w:t>
      </w:r>
    </w:p>
    <w:p>
      <w:pPr>
        <w:pStyle w:val="FirstParagraph"/>
      </w:pPr>
      <w:r>
        <w:rPr>
          <w:bCs/>
          <w:b/>
        </w:rPr>
        <w:t xml:space="preserve">1. Digital &amp; Content Marketing (Primary Channel)</w:t>
      </w:r>
    </w:p>
    <w:p>
      <w:pPr>
        <w:numPr>
          <w:ilvl w:val="0"/>
          <w:numId w:val="1004"/>
        </w:numPr>
        <w:pStyle w:val="Compact"/>
      </w:pPr>
      <w:r>
        <w:rPr>
          <w:bCs/>
          <w:b/>
        </w:rPr>
        <w:t xml:space="preserve">SEO Optimization:</w:t>
      </w:r>
      <w:r>
        <w:t xml:space="preserve"> </w:t>
      </w:r>
      <w:r>
        <w:t xml:space="preserve">Target "Ophthalmologist in London", "Premium Cataract Surgery West End", and "NHS Referral Ophthalmology Services" to capture high-intent UK searches.</w:t>
      </w:r>
    </w:p>
    <w:p>
      <w:pPr>
        <w:numPr>
          <w:ilvl w:val="0"/>
          <w:numId w:val="1004"/>
        </w:numPr>
        <w:pStyle w:val="Compact"/>
      </w:pPr>
      <w:r>
        <w:rPr>
          <w:bCs/>
          <w:b/>
        </w:rPr>
        <w:t xml:space="preserve">GDPR-Compliant Content:</w:t>
      </w:r>
      <w:r>
        <w:t xml:space="preserve"> </w:t>
      </w:r>
      <w:r>
        <w:t xml:space="preserve">Publish evidence-based guides (e.g., "Diabetic Retinopathy Screening: What London Residents Need to Know") on our website, certified by the General Medical Council (GMC).</w:t>
      </w:r>
    </w:p>
    <w:p>
      <w:pPr>
        <w:numPr>
          <w:ilvl w:val="0"/>
          <w:numId w:val="1004"/>
        </w:numPr>
        <w:pStyle w:val="Compact"/>
      </w:pPr>
      <w:r>
        <w:rPr>
          <w:bCs/>
          <w:b/>
        </w:rPr>
        <w:t xml:space="preserve">Social Media:</w:t>
      </w:r>
      <w:r>
        <w:t xml:space="preserve"> </w:t>
      </w:r>
      <w:r>
        <w:t xml:space="preserve">LinkedIn for NHS partnerships; Instagram for patient education videos (e.g., "A Day in the Life of a London Ophthalmologist").</w:t>
      </w:r>
    </w:p>
    <w:p>
      <w:pPr>
        <w:pStyle w:val="FirstParagraph"/>
      </w:pPr>
      <w:r>
        <w:rPr>
          <w:bCs/>
          <w:b/>
        </w:rPr>
        <w:t xml:space="preserve">2. Strategic Partnerships</w:t>
      </w:r>
    </w:p>
    <w:p>
      <w:pPr>
        <w:numPr>
          <w:ilvl w:val="0"/>
          <w:numId w:val="1005"/>
        </w:numPr>
        <w:pStyle w:val="Compact"/>
      </w:pPr>
      <w:r>
        <w:rPr>
          <w:bCs/>
          <w:b/>
        </w:rPr>
        <w:t xml:space="preserve">NHS Collaborations:</w:t>
      </w:r>
      <w:r>
        <w:t xml:space="preserve"> </w:t>
      </w:r>
      <w:r>
        <w:t xml:space="preserve">Formalize agreements with 5+ London trusts for streamlined referrals, using NHS Digital’s "Book My Appointment" system to build trust.</w:t>
      </w:r>
    </w:p>
    <w:p>
      <w:pPr>
        <w:numPr>
          <w:ilvl w:val="0"/>
          <w:numId w:val="1005"/>
        </w:numPr>
        <w:pStyle w:val="Compact"/>
      </w:pPr>
      <w:r>
        <w:rPr>
          <w:bCs/>
          <w:b/>
        </w:rPr>
        <w:t xml:space="preserve">Corporate Wellness Programs:</w:t>
      </w:r>
      <w:r>
        <w:t xml:space="preserve"> </w:t>
      </w:r>
      <w:r>
        <w:t xml:space="preserve">Partner with City firms (e.g., HSBC, Lloyds) to offer on-site eye screenings—leveraging London’s business hub status.</w:t>
      </w:r>
    </w:p>
    <w:p>
      <w:pPr>
        <w:pStyle w:val="FirstParagraph"/>
      </w:pPr>
      <w:r>
        <w:rPr>
          <w:bCs/>
          <w:b/>
        </w:rPr>
        <w:t xml:space="preserve">3. Community Engagement</w:t>
      </w:r>
    </w:p>
    <w:p>
      <w:pPr>
        <w:numPr>
          <w:ilvl w:val="0"/>
          <w:numId w:val="1006"/>
        </w:numPr>
        <w:pStyle w:val="Compact"/>
      </w:pPr>
      <w:r>
        <w:rPr>
          <w:bCs/>
          <w:b/>
        </w:rPr>
        <w:t xml:space="preserve">Free Public Screenings:</w:t>
      </w:r>
      <w:r>
        <w:t xml:space="preserve"> </w:t>
      </w:r>
      <w:r>
        <w:t xml:space="preserve">Host quarterly events in community centers (e.g., Greenwich, Hackney) to demonstrate commitment to United Kingdom London’s health equity goals.</w:t>
      </w:r>
    </w:p>
    <w:p>
      <w:pPr>
        <w:numPr>
          <w:ilvl w:val="0"/>
          <w:numId w:val="1006"/>
        </w:numPr>
        <w:pStyle w:val="Compact"/>
      </w:pPr>
      <w:r>
        <w:rPr>
          <w:bCs/>
          <w:b/>
        </w:rPr>
        <w:t xml:space="preserve">Local Sponsorships:</w:t>
      </w:r>
      <w:r>
        <w:t xml:space="preserve"> </w:t>
      </w:r>
      <w:r>
        <w:t xml:space="preserve">Support London-based sports clubs (e.g., Chelsea FC Foundation) for visibility among families and professionals.</w:t>
      </w:r>
    </w:p>
    <w:p>
      <w:pPr>
        <w:pStyle w:val="FirstParagraph"/>
      </w:pPr>
      <w:r>
        <w:rPr>
          <w:bCs/>
          <w:b/>
        </w:rPr>
        <w:t xml:space="preserve">4. Patient Retention &amp; Advocacy</w:t>
      </w:r>
    </w:p>
    <w:p>
      <w:pPr>
        <w:numPr>
          <w:ilvl w:val="0"/>
          <w:numId w:val="1007"/>
        </w:numPr>
        <w:pStyle w:val="Compact"/>
      </w:pPr>
      <w:r>
        <w:rPr>
          <w:bCs/>
          <w:b/>
        </w:rPr>
        <w:t xml:space="preserve">Loyalty Program:</w:t>
      </w:r>
      <w:r>
        <w:t xml:space="preserve"> </w:t>
      </w:r>
      <w:r>
        <w:t xml:space="preserve">"London Eye Care Circle" offering discounted follow-ups and priority booking for repeat patients (UK-compliant with GDPR).</w:t>
      </w:r>
    </w:p>
    <w:p>
      <w:pPr>
        <w:numPr>
          <w:ilvl w:val="0"/>
          <w:numId w:val="1007"/>
        </w:numPr>
        <w:pStyle w:val="Compact"/>
      </w:pPr>
      <w:r>
        <w:rPr>
          <w:bCs/>
          <w:b/>
        </w:rPr>
        <w:t xml:space="preserve">Testimonial Strategy:</w:t>
      </w:r>
      <w:r>
        <w:t xml:space="preserve"> </w:t>
      </w:r>
      <w:r>
        <w:t xml:space="preserve">Share anonymized patient stories (e.g., "How London Ophthalmologist Helped My Cataract Surgery") on Google Reviews—complying with UK Advertising Standards Authority rules.</w:t>
      </w:r>
    </w:p>
    <w:bookmarkEnd w:id="24"/>
    <w:bookmarkStart w:id="25" w:name="budget-allocation-kpis"/>
    <w:p>
      <w:pPr>
        <w:pStyle w:val="Heading2"/>
      </w:pPr>
      <w:r>
        <w:t xml:space="preserve">Budget Allocation &amp; KPIs</w:t>
      </w:r>
    </w:p>
    <w:p>
      <w:pPr>
        <w:pStyle w:val="FirstParagraph"/>
      </w:pPr>
      <w:r>
        <w:t xml:space="preserve">Initial investment of £85,000 focused on digital infrastructure (65%), partnerships (25%), and community events (10%). Key performance indicators include:</w:t>
      </w:r>
    </w:p>
    <w:p>
      <w:pPr>
        <w:numPr>
          <w:ilvl w:val="0"/>
          <w:numId w:val="1008"/>
        </w:numPr>
        <w:pStyle w:val="Compact"/>
      </w:pPr>
      <w:r>
        <w:rPr>
          <w:bCs/>
          <w:b/>
        </w:rPr>
        <w:t xml:space="preserve">Acquisition:</w:t>
      </w:r>
      <w:r>
        <w:t xml:space="preserve"> </w:t>
      </w:r>
      <w:r>
        <w:t xml:space="preserve">30% increase in new patients within 12 months via targeted London geo-ads.</w:t>
      </w:r>
    </w:p>
    <w:p>
      <w:pPr>
        <w:numPr>
          <w:ilvl w:val="0"/>
          <w:numId w:val="1008"/>
        </w:numPr>
        <w:pStyle w:val="Compact"/>
      </w:pPr>
      <w:r>
        <w:rPr>
          <w:bCs/>
          <w:b/>
        </w:rPr>
        <w:t xml:space="preserve">Satisfaction:</w:t>
      </w:r>
      <w:r>
        <w:t xml:space="preserve"> </w:t>
      </w:r>
      <w:r>
        <w:t xml:space="preserve">Achieve 95%+ patient satisfaction (measured via NHS-compliant surveys).</w:t>
      </w:r>
    </w:p>
    <w:p>
      <w:pPr>
        <w:numPr>
          <w:ilvl w:val="0"/>
          <w:numId w:val="1008"/>
        </w:numPr>
        <w:pStyle w:val="Compact"/>
      </w:pPr>
      <w:r>
        <w:rPr>
          <w:bCs/>
          <w:b/>
        </w:rPr>
        <w:t xml:space="preserve">NHS Referrals:</w:t>
      </w:r>
      <w:r>
        <w:t xml:space="preserve"> </w:t>
      </w:r>
      <w:r>
        <w:t xml:space="preserve">Secure partnerships with 8+ London GP practices within Year 1.</w:t>
      </w:r>
    </w:p>
    <w:bookmarkEnd w:id="25"/>
    <w:bookmarkStart w:id="26" w:name="risk-mitigation"/>
    <w:p>
      <w:pPr>
        <w:pStyle w:val="Heading2"/>
      </w:pPr>
      <w:r>
        <w:t xml:space="preserve">Risk Mitigation</w:t>
      </w:r>
    </w:p>
    <w:p>
      <w:pPr>
        <w:pStyle w:val="FirstParagraph"/>
      </w:pPr>
      <w:r>
        <w:t xml:space="preserve">All strategies comply with UK regulations:</w:t>
      </w:r>
    </w:p>
    <w:p>
      <w:pPr>
        <w:numPr>
          <w:ilvl w:val="0"/>
          <w:numId w:val="1009"/>
        </w:numPr>
        <w:pStyle w:val="Compact"/>
      </w:pPr>
      <w:r>
        <w:rPr>
          <w:bCs/>
          <w:b/>
        </w:rPr>
        <w:t xml:space="preserve">GDPR &amp; Data Privacy:</w:t>
      </w:r>
      <w:r>
        <w:t xml:space="preserve"> </w:t>
      </w:r>
      <w:r>
        <w:t xml:space="preserve">Strict adherence to NHS data-sharing protocols; no patient data sold or shared without consent.</w:t>
      </w:r>
    </w:p>
    <w:p>
      <w:pPr>
        <w:numPr>
          <w:ilvl w:val="0"/>
          <w:numId w:val="1009"/>
        </w:numPr>
        <w:pStyle w:val="Compact"/>
      </w:pPr>
      <w:r>
        <w:rPr>
          <w:bCs/>
          <w:b/>
        </w:rPr>
        <w:t xml:space="preserve">Medical Claims:</w:t>
      </w:r>
      <w:r>
        <w:t xml:space="preserve"> </w:t>
      </w:r>
      <w:r>
        <w:t xml:space="preserve">All content reviewed by GMC-certified medical writer—no unverified success rates (e.g., "98% satisfaction" instead of "98% cure rate").</w:t>
      </w:r>
    </w:p>
    <w:p>
      <w:pPr>
        <w:numPr>
          <w:ilvl w:val="0"/>
          <w:numId w:val="1009"/>
        </w:numPr>
        <w:pStyle w:val="Compact"/>
      </w:pPr>
      <w:r>
        <w:rPr>
          <w:bCs/>
          <w:b/>
        </w:rPr>
        <w:t xml:space="preserve">NHS Competition:</w:t>
      </w:r>
      <w:r>
        <w:t xml:space="preserve"> </w:t>
      </w:r>
      <w:r>
        <w:t xml:space="preserve">Focus on complementary services (e.g., private follow-ups for NHS referrals) to avoid conflict with public provision.</w:t>
      </w:r>
    </w:p>
    <w:bookmarkEnd w:id="26"/>
    <w:bookmarkStart w:id="27" w:name="conclusion-driving-impact-in-london"/>
    <w:p>
      <w:pPr>
        <w:pStyle w:val="Heading2"/>
      </w:pPr>
      <w:r>
        <w:t xml:space="preserve">Conclusion: Driving Impact in London</w:t>
      </w:r>
    </w:p>
    <w:p>
      <w:pPr>
        <w:pStyle w:val="FirstParagraph"/>
      </w:pPr>
      <w:r>
        <w:t xml:space="preserve">This Marketing Plan delivers a sustainable, compliant framework for our Ophthalmologist to thrive within United Kingdom London. By centering the patient experience in Central London’s unique healthcare ecosystem—balancing premium care with social purpose—we will become the region’s most sought-after eye specialist. The integration of digital efficiency, NHS synergy, and community investment ensures not just business growth, but meaningful contribution to London’s public health landscape. As demand for ophthalmology services rises across the capital, this plan positions us at the forefront of a critical healthcare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Ophthalmology Services in United Kingdom London</dc:title>
  <dc:creator/>
  <dc:language>en</dc:language>
  <cp:keywords/>
  <dcterms:created xsi:type="dcterms:W3CDTF">2026-07-24T05:00:44Z</dcterms:created>
  <dcterms:modified xsi:type="dcterms:W3CDTF">2026-07-24T05:00:44Z</dcterms:modified>
</cp:coreProperties>
</file>

<file path=docProps/custom.xml><?xml version="1.0" encoding="utf-8"?>
<Properties xmlns="http://schemas.openxmlformats.org/officeDocument/2006/custom-properties" xmlns:vt="http://schemas.openxmlformats.org/officeDocument/2006/docPropsVTypes"/>
</file>