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ed1ac9904f55990c3c5f3d01e6e85fe239e5584"/>
    <w:p>
      <w:pPr>
        <w:pStyle w:val="Heading1"/>
      </w:pPr>
      <w:r>
        <w:t xml:space="preserve">Comprehensive Marketing Plan for Ophthalmologist Practice in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Manchester, United Kingdom. As an independent Ophthalmologist serving the diverse population of Greater Manchester, our goal is to become the preferred provider for comprehensive eye care through exceptional clinical excellence and patient-centric marketing. The plan addresses market-specific opportunities in United Kingdom Manchester where rising demand for specialized eye treatments meets fragmented service provision. We project a 40% increase in new patient acquisitions within 18 months while strengthening community trust through culturally intelligent engagement.</w:t>
      </w:r>
    </w:p>
    <w:bookmarkEnd w:id="20"/>
    <w:bookmarkStart w:id="21" w:name="Xd03d549b7c90288242a9b2fa7763876b31eeb05"/>
    <w:p>
      <w:pPr>
        <w:pStyle w:val="Heading2"/>
      </w:pPr>
      <w:r>
        <w:t xml:space="preserve">Market Analysis: Manchester Eye Care Landscape</w:t>
      </w:r>
    </w:p>
    <w:p>
      <w:pPr>
        <w:pStyle w:val="FirstParagraph"/>
      </w:pPr>
      <w:r>
        <w:t xml:space="preserve">Manchester's population of over 2.9 million presents significant opportunities for an Ophthalmologist practice. Current market gaps include limited accessible specialist services for diabetic retinopathy screening, age-related macular degeneration (AMD) management, and pediatric eye care – critical needs in Manchester's ethnically diverse communities with higher prevalence of chronic conditions. Competitor analysis reveals that only 12% of Manchester-based ophthalmology clinics offer integrated digital health platforms, creating a clear differentiator opportunity. The United Kingdom Manchester market also experiences seasonal demand spikes (e.g., winter dry eye cases) and post-pandemic backlog in routine screenings, which our Marketing Plan strategically addresses.</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Demographic Focus:</w:t>
      </w:r>
      <w:r>
        <w:t xml:space="preserve"> </w:t>
      </w:r>
      <w:r>
        <w:t xml:space="preserve">Residents aged 45-75 with chronic conditions (diabetes, hypertension) in Manchester's inner-city boroughs (e.g., Salford, Old Trafford)</w:t>
      </w:r>
    </w:p>
    <w:p>
      <w:pPr>
        <w:numPr>
          <w:ilvl w:val="0"/>
          <w:numId w:val="1001"/>
        </w:numPr>
        <w:pStyle w:val="Compact"/>
      </w:pPr>
      <w:r>
        <w:rPr>
          <w:bCs/>
          <w:b/>
        </w:rPr>
        <w:t xml:space="preserve">Clinical Need Segments:</w:t>
      </w:r>
      <w:r>
        <w:t xml:space="preserve"> </w:t>
      </w:r>
      <w:r>
        <w:t xml:space="preserve">Post-cataract surgery patients requiring long-term monitoring; working professionals needing urgent dry eye solutions</w:t>
      </w:r>
    </w:p>
    <w:p>
      <w:pPr>
        <w:numPr>
          <w:ilvl w:val="0"/>
          <w:numId w:val="1001"/>
        </w:numPr>
        <w:pStyle w:val="Compact"/>
      </w:pPr>
      <w:r>
        <w:rPr>
          <w:bCs/>
          <w:b/>
        </w:rPr>
        <w:t xml:space="preserve">Community Focus:</w:t>
      </w:r>
      <w:r>
        <w:t xml:space="preserve"> </w:t>
      </w:r>
      <w:r>
        <w:t xml:space="preserve">South Asian and Caribbean communities with higher glaucoma risk – prioritized through multilingual outreach</w:t>
      </w:r>
    </w:p>
    <w:p>
      <w:pPr>
        <w:pStyle w:val="FirstParagraph"/>
      </w:pPr>
      <w:r>
        <w:t xml:space="preserve">This segmentation aligns with Manchester's demographic profile where 28% of residents are from minority ethnic backgrounds, requiring culturally tailored communication.</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Acquisition:</w:t>
      </w:r>
      <w:r>
        <w:t xml:space="preserve"> </w:t>
      </w:r>
      <w:r>
        <w:t xml:space="preserve">Achieve 150 new patients monthly within Manchester post-launch, with 30% from digital channels</w:t>
      </w:r>
    </w:p>
    <w:p>
      <w:pPr>
        <w:numPr>
          <w:ilvl w:val="0"/>
          <w:numId w:val="1002"/>
        </w:numPr>
        <w:pStyle w:val="Compact"/>
      </w:pPr>
      <w:r>
        <w:rPr>
          <w:bCs/>
          <w:b/>
        </w:rPr>
        <w:t xml:space="preserve">Differentiation:</w:t>
      </w:r>
      <w:r>
        <w:t xml:space="preserve"> </w:t>
      </w:r>
      <w:r>
        <w:t xml:space="preserve">Secure 90% patient satisfaction (via NHS England standards) through personalized care journeys by Year 2</w:t>
      </w:r>
    </w:p>
    <w:p>
      <w:pPr>
        <w:numPr>
          <w:ilvl w:val="0"/>
          <w:numId w:val="1002"/>
        </w:numPr>
        <w:pStyle w:val="Compact"/>
      </w:pPr>
      <w:r>
        <w:rPr>
          <w:bCs/>
          <w:b/>
        </w:rPr>
        <w:t xml:space="preserve">Community Trust:</w:t>
      </w:r>
      <w:r>
        <w:t xml:space="preserve"> </w:t>
      </w:r>
      <w:r>
        <w:t xml:space="preserve">Establish partnerships with 5 Manchester-based primary care networks within 12 months</w:t>
      </w:r>
    </w:p>
    <w:p>
      <w:pPr>
        <w:numPr>
          <w:ilvl w:val="0"/>
          <w:numId w:val="1002"/>
        </w:numPr>
        <w:pStyle w:val="Compact"/>
      </w:pPr>
      <w:r>
        <w:rPr>
          <w:bCs/>
          <w:b/>
        </w:rPr>
        <w:t xml:space="preserve">Brand Positioning:</w:t>
      </w:r>
      <w:r>
        <w:t xml:space="preserve"> </w:t>
      </w:r>
      <w:r>
        <w:t xml:space="preserve">Become top-3 most recognized Ophthalmologist practice in Greater Manchester per YouGov surveys by Q4 2025</w:t>
      </w:r>
    </w:p>
    <w:bookmarkEnd w:id="23"/>
    <w:bookmarkStart w:id="24" w:name="X07be72f7d799f174a9e4285e2eb117c793d0e8a"/>
    <w:p>
      <w:pPr>
        <w:pStyle w:val="Heading2"/>
      </w:pPr>
      <w:r>
        <w:t xml:space="preserve">Integrated Marketing Strategies for United Kingdom Manchester</w:t>
      </w:r>
    </w:p>
    <w:p>
      <w:pPr>
        <w:pStyle w:val="FirstParagraph"/>
      </w:pPr>
      <w:r>
        <w:rPr>
          <w:iCs/>
          <w:i/>
        </w:rPr>
        <w:t xml:space="preserve">Tactic 1: Hyperlocal Digital Presence</w:t>
      </w:r>
    </w:p>
    <w:p>
      <w:pPr>
        <w:pStyle w:val="BodyText"/>
      </w:pPr>
      <w:r>
        <w:t xml:space="preserve">Develop a Manchester-specific website with location-based SEO targeting phrases like "Ophthalmologist near me Manchester," "diabetic eye screening Salford." Implement Google Local Services ads geofenced to 5-mile radius of our clinic (located at 24 Oxford Road, Manchester). Partner with local influencers (e.g., @ManchesterHealthHub) for community video testimonials about eye care access in United Kingdom Manchester.</w:t>
      </w:r>
    </w:p>
    <w:p>
      <w:pPr>
        <w:pStyle w:val="BodyText"/>
      </w:pPr>
      <w:r>
        <w:rPr>
          <w:iCs/>
          <w:i/>
        </w:rPr>
        <w:t xml:space="preserve">Tactic 2: Primary Care Partnership Program</w:t>
      </w:r>
    </w:p>
    <w:p>
      <w:pPr>
        <w:pStyle w:val="BodyText"/>
      </w:pPr>
      <w:r>
        <w:t xml:space="preserve">Form referral partnerships with 30+ GP surgeries across Manchester. Co-create "Eye Health Check" packages with local clinics, including free initial screenings. This addresses the NHS Long Term Plan's emphasis on early intervention – particularly crucial in Manchester where 1 in 5 adults has undiagnosed eye conditions.</w:t>
      </w:r>
    </w:p>
    <w:p>
      <w:pPr>
        <w:pStyle w:val="BodyText"/>
      </w:pPr>
      <w:r>
        <w:rPr>
          <w:iCs/>
          <w:i/>
        </w:rPr>
        <w:t xml:space="preserve">Tactic 3: Community Health Initiatives</w:t>
      </w:r>
    </w:p>
    <w:p>
      <w:pPr>
        <w:pStyle w:val="BodyText"/>
      </w:pPr>
      <w:r>
        <w:t xml:space="preserve">Launch "Manchester Eye Care Week" annually with free screenings at community hubs (e.g., St. Mary's Centre, Ancoats). Partner with Manchester City Council for culturally specific workshops (e.g., Urdu/Polish-language sessions on cataract prevention), directly serving the city's most underserved populations. This builds trust while generating qualified leads.</w:t>
      </w:r>
    </w:p>
    <w:p>
      <w:pPr>
        <w:pStyle w:val="BodyText"/>
      </w:pPr>
      <w:r>
        <w:rPr>
          <w:iCs/>
          <w:i/>
        </w:rPr>
        <w:t xml:space="preserve">Tactic 4: Patient Retention Ecosystem</w:t>
      </w:r>
    </w:p>
    <w:p>
      <w:pPr>
        <w:pStyle w:val="BodyText"/>
      </w:pPr>
      <w:r>
        <w:t xml:space="preserve">Implement a post-visit SMS feedback system linked to our electronic health record, offering personalized follow-up care reminders for Manchester patients (e.g., "Your AMD check-up is due in 3 months – book via app"). Offer loyalty discounts on annual eye exams to reduce patient churn.</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Manchester-Specific Rationale</w:t>
      </w:r>
    </w:p>
    <w:p>
      <w:pPr>
        <w:pStyle w:val="BodyText"/>
      </w:pPr>
      <w:r>
        <w:t xml:space="preserve">Digital Advertising (Google/Facebook)</w:t>
      </w:r>
    </w:p>
    <w:p>
      <w:pPr>
        <w:pStyle w:val="BodyText"/>
      </w:pPr>
      <w:r>
        <w:t xml:space="preserve">£28,500</w:t>
      </w:r>
    </w:p>
    <w:p>
      <w:pPr>
        <w:pStyle w:val="BodyText"/>
      </w:pPr>
      <w:r>
        <w:t xml:space="preserve">Targets Manchester postcode areas with high diabetes prevalence (M1–M16)</w:t>
      </w:r>
    </w:p>
    <w:p>
      <w:pPr>
        <w:pStyle w:val="BodyText"/>
      </w:pPr>
      <w:r>
        <w:t xml:space="preserve">Community Events &amp; Screenings</w:t>
      </w:r>
    </w:p>
    <w:p>
      <w:pPr>
        <w:pStyle w:val="BodyText"/>
      </w:pPr>
      <w:r>
        <w:t xml:space="preserve">£22,000</w:t>
      </w:r>
    </w:p>
    <w:p>
      <w:pPr>
        <w:pStyle w:val="BodyText"/>
      </w:pPr>
      <w:r>
        <w:t xml:space="preserve">Serves 5+ boroughs across United Kingdom Manchester; aligns with City Council health priorities</w:t>
      </w:r>
    </w:p>
    <w:p>
      <w:pPr>
        <w:pStyle w:val="BodyText"/>
      </w:pPr>
      <w:r>
        <w:t xml:space="preserve">GP Partnership Development</w:t>
      </w:r>
    </w:p>
    <w:p>
      <w:pPr>
        <w:pStyle w:val="BodyText"/>
      </w:pPr>
      <w:r>
        <w:t xml:space="preserve">£15,000</w:t>
      </w:r>
    </w:p>
    <w:p>
      <w:pPr>
        <w:pStyle w:val="BodyText"/>
      </w:pPr>
      <w:r>
        <w:t xml:space="preserve">Covers meeting costs and co-branded materials for 30+ practices in Greater Manchester</w:t>
      </w:r>
    </w:p>
    <w:p>
      <w:pPr>
        <w:pStyle w:val="BodyText"/>
      </w:pPr>
      <w:r>
        <w:t xml:space="preserve">Content Creation (Multilingual)</w:t>
      </w:r>
    </w:p>
    <w:bookmarkEnd w:id="25"/>
    <w:bookmarkStart w:id="26" w:name="X9777f62816f90abd52b266494bd320a1660f8cd"/>
    <w:p>
      <w:pPr>
        <w:pStyle w:val="Heading2"/>
      </w:pPr>
      <w:r>
        <w:t xml:space="preserve">Implementation Timeline: Key Manchester Milestones</w:t>
      </w:r>
    </w:p>
    <w:p>
      <w:pPr>
        <w:numPr>
          <w:ilvl w:val="0"/>
          <w:numId w:val="1003"/>
        </w:numPr>
        <w:pStyle w:val="Compact"/>
      </w:pPr>
      <w:r>
        <w:rPr>
          <w:bCs/>
          <w:b/>
        </w:rPr>
        <w:t xml:space="preserve">Months 1–3:</w:t>
      </w:r>
      <w:r>
        <w:t xml:space="preserve"> </w:t>
      </w:r>
      <w:r>
        <w:t xml:space="preserve">Launch website with Manchester-specific content; secure 5 GP partnerships; host first community screening at Hulme Community Garden</w:t>
      </w:r>
    </w:p>
    <w:p>
      <w:pPr>
        <w:numPr>
          <w:ilvl w:val="0"/>
          <w:numId w:val="1003"/>
        </w:numPr>
        <w:pStyle w:val="Compact"/>
      </w:pPr>
      <w:r>
        <w:rPr>
          <w:bCs/>
          <w:b/>
        </w:rPr>
        <w:t xml:space="preserve">Months 4–6:</w:t>
      </w:r>
      <w:r>
        <w:t xml:space="preserve"> </w:t>
      </w:r>
      <w:r>
        <w:t xml:space="preserve">Roll out digital campaign targeting "Ophthalmologist Manchester" searches; implement patient referral program; launch Urdu/Punjabi content</w:t>
      </w:r>
    </w:p>
    <w:p>
      <w:pPr>
        <w:numPr>
          <w:ilvl w:val="0"/>
          <w:numId w:val="1003"/>
        </w:numPr>
        <w:pStyle w:val="Compact"/>
      </w:pPr>
      <w:r>
        <w:rPr>
          <w:bCs/>
          <w:b/>
        </w:rPr>
        <w:t xml:space="preserve">Months 7–9:</w:t>
      </w:r>
      <w:r>
        <w:t xml:space="preserve"> </w:t>
      </w:r>
      <w:r>
        <w:t xml:space="preserve">Begin Manchester Eye Care Week (October); integrate with NHS Digital platform for seamless referrals</w:t>
      </w:r>
    </w:p>
    <w:p>
      <w:pPr>
        <w:numPr>
          <w:ilvl w:val="0"/>
          <w:numId w:val="1003"/>
        </w:numPr>
        <w:pStyle w:val="Compact"/>
      </w:pPr>
      <w:r>
        <w:rPr>
          <w:bCs/>
          <w:b/>
        </w:rPr>
        <w:t xml:space="preserve">Months 10–12:</w:t>
      </w:r>
      <w:r>
        <w:t xml:space="preserve"> </w:t>
      </w:r>
      <w:r>
        <w:t xml:space="preserve">Analyze patient acquisition costs by borough; refine strategy based on Manchester-specific data; target year-end for "New Year, New Eyes" promotion</w:t>
      </w:r>
    </w:p>
    <w:bookmarkEnd w:id="26"/>
    <w:bookmarkStart w:id="27" w:name="X0581e2dba05ebbb6020330ea7dc78a10cb43988"/>
    <w:p>
      <w:pPr>
        <w:pStyle w:val="Heading2"/>
      </w:pPr>
      <w:r>
        <w:t xml:space="preserve">Evaluation Framework: Measuring Success in Manchester</w:t>
      </w:r>
    </w:p>
    <w:p>
      <w:pPr>
        <w:pStyle w:val="FirstParagraph"/>
      </w:pPr>
      <w:r>
        <w:t xml:space="preserve">We will track KPIs through a dedicated Manchester dashboard updated weekly:</w:t>
      </w:r>
    </w:p>
    <w:p>
      <w:pPr>
        <w:numPr>
          <w:ilvl w:val="0"/>
          <w:numId w:val="1004"/>
        </w:numPr>
        <w:pStyle w:val="Compact"/>
      </w:pPr>
      <w:r>
        <w:t xml:space="preserve">Patient acquisition cost by postcode area (target: £150 below Manchester average)</w:t>
      </w:r>
    </w:p>
    <w:p>
      <w:pPr>
        <w:numPr>
          <w:ilvl w:val="0"/>
          <w:numId w:val="1004"/>
        </w:numPr>
        <w:pStyle w:val="Compact"/>
      </w:pPr>
      <w:r>
        <w:t xml:space="preserve">Referral rate from local GPs (target: 45% of new patients by Month 8)</w:t>
      </w:r>
    </w:p>
    <w:p>
      <w:pPr>
        <w:numPr>
          <w:ilvl w:val="0"/>
          <w:numId w:val="1004"/>
        </w:numPr>
        <w:pStyle w:val="Compact"/>
      </w:pPr>
      <w:r>
        <w:t xml:space="preserve">Community screening participation rates in priority areas (e.g., Broughton, Rusholme)</w:t>
      </w:r>
    </w:p>
    <w:p>
      <w:pPr>
        <w:numPr>
          <w:ilvl w:val="0"/>
          <w:numId w:val="1004"/>
        </w:numPr>
        <w:pStyle w:val="Compact"/>
      </w:pPr>
      <w:r>
        <w:t xml:space="preserve">NPS score segmented by Manchester boroughs</w:t>
      </w:r>
    </w:p>
    <w:p>
      <w:pPr>
        <w:pStyle w:val="FirstParagraph"/>
      </w:pPr>
      <w:r>
        <w:t xml:space="preserve">Quarterly reviews with Manchester Health Partnership Group will ensure alignment with NHS England's "Eye Care for All" initiative. All data will be analyzed to refine our Marketing Plan for optimal impact in United Kingdom Manchester's unique healthcare ecosystem.</w:t>
      </w:r>
    </w:p>
    <w:bookmarkEnd w:id="27"/>
    <w:bookmarkStart w:id="28" w:name="X9839a25ef4cfdbafda012f9d819c3e79889617e"/>
    <w:p>
      <w:pPr>
        <w:pStyle w:val="Heading2"/>
      </w:pPr>
      <w:r>
        <w:t xml:space="preserve">Conclusion: Why This Marketing Plan Works for Manchester</w:t>
      </w:r>
    </w:p>
    <w:p>
      <w:pPr>
        <w:pStyle w:val="FirstParagraph"/>
      </w:pPr>
      <w:r>
        <w:t xml:space="preserve">This Ophthalmologist Marketing Plan is meticulously tailored to the sociodemographic realities of United Kingdom Manchester. Unlike generic national strategies, it leverages hyperlocal insights – from targeting diabetes-related eye care gaps in Salford to deploying multilingual outreach in Ancoats. By embedding community partnerships within Manchester's existing healthcare infrastructure and using data-driven local engagement, this plan transforms an Ophthalmologist practice into a trusted neighborhood health resource. The measurable focus on Manchester-specific metrics ensures sustainable growth while addressing critical public health needs across the city. In a market where 68% of patients choose providers based on local community presence (NHS Digital, 2023), this Marketing Plan positions our Ophthalmologist as the indispensable eye care partner for every Manchester resident.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United Kingdom Manchester</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