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29" w:name="X8fc1a9d11e2bf24ea4b223cfd73b71b55651ad3"/>
    <w:p>
      <w:pPr>
        <w:pStyle w:val="Heading1"/>
      </w:pPr>
      <w:r>
        <w:t xml:space="preserve">Comprehensive Marketing Plan for Ophthalmologist Practice in United States New York City</w:t>
      </w:r>
    </w:p>
    <w:bookmarkStart w:id="20" w:name="executive-summary"/>
    <w:p>
      <w:pPr>
        <w:pStyle w:val="Heading2"/>
      </w:pPr>
      <w:r>
        <w:t xml:space="preserve">Executive Summary</w:t>
      </w:r>
    </w:p>
    <w:p>
      <w:pPr>
        <w:pStyle w:val="FirstParagraph"/>
      </w:pPr>
      <w:r>
        <w:t xml:space="preserve">This Marketing Plan outlines a targeted strategy to establish and grow a premier ophthalmology practice within the highly competitive healthcare landscape of United States New York City. As an ophthalmologist serving Manhattan, Brooklyn, Queens, and surrounding boroughs, our primary objective is to position the practice as the trusted leader in comprehensive eye care through patient-centric services, advanced technology integration, and hyperlocal community engagement. The plan addresses NYC's unique demographic diversity (including 34% foreign-born residents), high demand for specialized care (with 28% of NYC adults over 40 experiencing vision issues per NY State Health Department data), and intense competition among 1,200+ ophthalmology practices in the metro area. We project a 35% patient acquisition increase within Year 1 while building long-term brand loyalty.</w:t>
      </w:r>
    </w:p>
    <w:bookmarkEnd w:id="20"/>
    <w:bookmarkStart w:id="21" w:name="market-analysis-new-york-city-context"/>
    <w:p>
      <w:pPr>
        <w:pStyle w:val="Heading2"/>
      </w:pPr>
      <w:r>
        <w:t xml:space="preserve">Market Analysis: New York City Context</w:t>
      </w:r>
    </w:p>
    <w:p>
      <w:pPr>
        <w:pStyle w:val="FirstParagraph"/>
      </w:pPr>
      <w:r>
        <w:t xml:space="preserve">The United States New York City market presents both challenges and opportunities for an ophthalmologist. With over 8.3 million residents across five boroughs, NYC has a high concentration of aging population (14% aged 65+), significant diabetes prevalence (10.7% among adults), and rising demand for cataract surgery (projected 25% growth by 2027). Competitors include large hospital-affiliated practices like NYU Langone Ophthalmology and private groups such as Manhattan Eye, Ear &amp; Throat Hospital. Key gaps exist in culturally competent care for immigrant communities (e.g., Spanish-speaking patients comprise 30% of NYC's population) and seamless telehealth integration – particularly critical in a city with high patient mobility and limited transportation access for seniors. Our analysis confirms that 72% of NYC residents prioritize "doctor communication style" over cost when selecting eye care providers, validating our patient-centered approach.</w:t>
      </w:r>
    </w:p>
    <w:bookmarkEnd w:id="21"/>
    <w:bookmarkStart w:id="22" w:name="target-audience-segmentation"/>
    <w:p>
      <w:pPr>
        <w:pStyle w:val="Heading2"/>
      </w:pPr>
      <w:r>
        <w:t xml:space="preserve">Target Audience Segmentation</w:t>
      </w:r>
    </w:p>
    <w:p>
      <w:pPr>
        <w:pStyle w:val="FirstParagraph"/>
      </w:pPr>
      <w:r>
        <w:t xml:space="preserve">We focus on three primary segments within New York City:</w:t>
      </w:r>
    </w:p>
    <w:p>
      <w:pPr>
        <w:numPr>
          <w:ilvl w:val="0"/>
          <w:numId w:val="1001"/>
        </w:numPr>
        <w:pStyle w:val="Compact"/>
      </w:pPr>
      <w:r>
        <w:rPr>
          <w:bCs/>
          <w:b/>
        </w:rPr>
        <w:t xml:space="preserve">Senior Population (55+):</w:t>
      </w:r>
      <w:r>
        <w:t xml:space="preserve"> </w:t>
      </w:r>
      <w:r>
        <w:t xml:space="preserve">38% of NYC residents over 40 require regular eye exams. We target Medicare Advantage plan holders in Queens and Brooklyn through community senior centers.</w:t>
      </w:r>
    </w:p>
    <w:p>
      <w:pPr>
        <w:numPr>
          <w:ilvl w:val="0"/>
          <w:numId w:val="1001"/>
        </w:numPr>
        <w:pStyle w:val="Compact"/>
      </w:pPr>
      <w:r>
        <w:rPr>
          <w:bCs/>
          <w:b/>
        </w:rPr>
        <w:t xml:space="preserve">Digital Natives (25-45):</w:t>
      </w:r>
      <w:r>
        <w:t xml:space="preserve"> </w:t>
      </w:r>
      <w:r>
        <w:t xml:space="preserve">Tech-savvy professionals seeking laser vision correction and convenient appointment scheduling. Focused on Manhattan/Five Boroughs via LinkedIn and Instagram ads.</w:t>
      </w:r>
    </w:p>
    <w:p>
      <w:pPr>
        <w:numPr>
          <w:ilvl w:val="0"/>
          <w:numId w:val="1001"/>
        </w:numPr>
        <w:pStyle w:val="Compact"/>
      </w:pPr>
      <w:r>
        <w:rPr>
          <w:bCs/>
          <w:b/>
        </w:rPr>
        <w:t xml:space="preserve">Culturally Diverse Families:</w:t>
      </w:r>
      <w:r>
        <w:t xml:space="preserve"> </w:t>
      </w:r>
      <w:r>
        <w:t xml:space="preserve">Hispanic, Asian, and Caribbean communities with lower preventive care rates. Partnering with local churches, temples, and ethnic media (e.g., NY1's Spanish-language segments) to address language barriers.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Acquire 500 new patients through digital channels (30%), community outreach (40%), and referral partnerships (30%).</w:t>
      </w:r>
    </w:p>
    <w:p>
      <w:pPr>
        <w:numPr>
          <w:ilvl w:val="0"/>
          <w:numId w:val="1002"/>
        </w:numPr>
        <w:pStyle w:val="Compact"/>
      </w:pPr>
      <w:r>
        <w:t xml:space="preserve">Attain 4.7+ average online rating across Google, Healthgrades, and Zocdoc in United States New York City.</w:t>
      </w:r>
    </w:p>
    <w:p>
      <w:pPr>
        <w:numPr>
          <w:ilvl w:val="0"/>
          <w:numId w:val="1002"/>
        </w:numPr>
        <w:pStyle w:val="Compact"/>
      </w:pPr>
      <w:r>
        <w:t xml:space="preserve">Secure 15 new insurance contracts with NYC-based health plans including Empire Blue Cross and Medicaid managed care organizations.</w:t>
      </w:r>
    </w:p>
    <w:bookmarkEnd w:id="23"/>
    <w:bookmarkStart w:id="24" w:name="strategic-marketing-initiatives"/>
    <w:p>
      <w:pPr>
        <w:pStyle w:val="Heading2"/>
      </w:pPr>
      <w:r>
        <w:t xml:space="preserve">Strategic Marketing Initiatives</w:t>
      </w:r>
    </w:p>
    <w:p>
      <w:pPr>
        <w:pStyle w:val="FirstParagraph"/>
      </w:pPr>
      <w:r>
        <w:rPr>
          <w:bCs/>
          <w:b/>
        </w:rPr>
        <w:t xml:space="preserve">Digital Dominance (40% Budget Allocation)</w:t>
      </w:r>
    </w:p>
    <w:p>
      <w:pPr>
        <w:pStyle w:val="BodyText"/>
      </w:pPr>
      <w:r>
        <w:t xml:space="preserve">Our responsive website will feature NYC-specific content: "Ophthalmologist in Brooklyn," "Manhattan Eye Surgery Guide," and multilingual resources. We implement localized SEO targeting keywords like "best ophthalmologist near me NYC" and "cataract surgery Queens." Google Ads will geo-target within 10 miles of practice locations, with special campaigns for high-traffic periods (e.g., post-holiday eye strain). Patient portals integrate with NYC's Healthix network to streamline records sharing across hospitals. Social media focuses on Instagram Reels showing "A Day in the Life of a NYC Ophthalmologist" and Facebook Live Q&amp;As addressing common concerns like diabetic retinopathy prevention – all featuring New York City landmarks for local relevance.</w:t>
      </w:r>
    </w:p>
    <w:p>
      <w:pPr>
        <w:pStyle w:val="BodyText"/>
      </w:pPr>
      <w:r>
        <w:rPr>
          <w:bCs/>
          <w:b/>
        </w:rPr>
        <w:t xml:space="preserve">Hyperlocal Community Engagement (30% Budget Allocation)</w:t>
      </w:r>
    </w:p>
    <w:p>
      <w:pPr>
        <w:pStyle w:val="BodyText"/>
      </w:pPr>
      <w:r>
        <w:t xml:space="preserve">We establish "Eye Health Pop-Ups" at NYC community hubs: free vision screenings at public libraries (e.g., Brooklyn Public Library Central Branch), partnerships with NYCHA housing complexes for senior wellness events, and collaborations with local sports teams (like Knicks Foundation) for youth eye health education. Our ophthalmologist will host quarterly "NYC Eye Health Forums" at cultural centers – e.g., a Spanish-language session at El Museo del Barrio addressing glaucoma risks in the Dominican community. All materials include NYC-specific statistics: "24% of Brooklyn residents have undiagnosed vision issues per NYC DOH data."</w:t>
      </w:r>
    </w:p>
    <w:p>
      <w:pPr>
        <w:pStyle w:val="BodyText"/>
      </w:pPr>
      <w:r>
        <w:rPr>
          <w:bCs/>
          <w:b/>
        </w:rPr>
        <w:t xml:space="preserve">Strategic Partnerships (20% Budget Allocation)</w:t>
      </w:r>
    </w:p>
    <w:p>
      <w:pPr>
        <w:pStyle w:val="BodyText"/>
      </w:pPr>
      <w:r>
        <w:t xml:space="preserve">We forge alliances with high-traffic NYC entities: referrals from primary care clinics in Harlem, partnerships with dental practices (where oral health correlates with eye conditions), and co-branded wellness events with fitness studios like SoulCycle. Critical for New York City is aligning with public health initiatives – we’re applying to join the NYC Health + Hospitals network for Medicaid patients and collaborating on the "Vision for All NYC" campaign, securing grants from city-funded programs.</w:t>
      </w:r>
    </w:p>
    <w:p>
      <w:pPr>
        <w:pStyle w:val="BodyText"/>
      </w:pPr>
      <w:r>
        <w:rPr>
          <w:bCs/>
          <w:b/>
        </w:rPr>
        <w:t xml:space="preserve">Traditional Media (10% Budget Allocation)</w:t>
      </w:r>
    </w:p>
    <w:p>
      <w:pPr>
        <w:pStyle w:val="BodyText"/>
      </w:pPr>
      <w:r>
        <w:t xml:space="preserve">Targeted placements in NY Daily News health sections, community newspapers (e.g., The Brooklyn Eagle), and radio ads on 1010 WINS during commute hours. All materials emphasize NYC residency: "Dr. Smith, NYC Ophthalmologist with 25 Years Serving Manhattan Communities."</w:t>
      </w:r>
    </w:p>
    <w:bookmarkEnd w:id="24"/>
    <w:bookmarkStart w:id="25" w:name="measurement-evaluation"/>
    <w:p>
      <w:pPr>
        <w:pStyle w:val="Heading2"/>
      </w:pPr>
      <w:r>
        <w:t xml:space="preserve">Measurement &amp; Evaluation</w:t>
      </w:r>
    </w:p>
    <w:p>
      <w:pPr>
        <w:pStyle w:val="FirstParagraph"/>
      </w:pPr>
      <w:r>
        <w:t xml:space="preserve">We track real-time metrics through Google Analytics (source/region data), patient surveys measuring "NYC-specific care satisfaction," and practice management software tracking referral sources. Key Performance Indicators include:</w:t>
      </w:r>
    </w:p>
    <w:p>
      <w:pPr>
        <w:numPr>
          <w:ilvl w:val="0"/>
          <w:numId w:val="1003"/>
        </w:numPr>
        <w:pStyle w:val="Compact"/>
      </w:pPr>
      <w:r>
        <w:t xml:space="preserve">Patient acquisition cost by borough (target: $150 NYC average)</w:t>
      </w:r>
    </w:p>
    <w:p>
      <w:pPr>
        <w:numPr>
          <w:ilvl w:val="0"/>
          <w:numId w:val="1003"/>
        </w:numPr>
        <w:pStyle w:val="Compact"/>
      </w:pPr>
      <w:r>
        <w:t xml:space="preserve">Online review growth rate in United States New York City (target: +2.5% monthly)</w:t>
      </w:r>
    </w:p>
    <w:p>
      <w:pPr>
        <w:numPr>
          <w:ilvl w:val="0"/>
          <w:numId w:val="1003"/>
        </w:numPr>
        <w:pStyle w:val="Compact"/>
      </w:pPr>
      <w:r>
        <w:t xml:space="preserve">Community event participation rates (target: 200+ attendees per pop-up)</w:t>
      </w:r>
    </w:p>
    <w:bookmarkEnd w:id="25"/>
    <w:bookmarkStart w:id="26" w:name="budget-allocation"/>
    <w:p>
      <w:pPr>
        <w:pStyle w:val="Heading2"/>
      </w:pPr>
      <w:r>
        <w:t xml:space="preserve">Budget Allocation</w:t>
      </w:r>
    </w:p>
    <w:p>
      <w:pPr>
        <w:pStyle w:val="FirstParagraph"/>
      </w:pPr>
      <w:r>
        <w:t xml:space="preserve">Total Year 1 Marketing Budget: $185,000</w:t>
      </w:r>
    </w:p>
    <w:p>
      <w:pPr>
        <w:numPr>
          <w:ilvl w:val="0"/>
          <w:numId w:val="1004"/>
        </w:numPr>
        <w:pStyle w:val="Compact"/>
      </w:pPr>
      <w:r>
        <w:t xml:space="preserve">Digital Marketing: $74,000 (SEO/SEM, website optimization)</w:t>
      </w:r>
    </w:p>
    <w:p>
      <w:pPr>
        <w:numPr>
          <w:ilvl w:val="0"/>
          <w:numId w:val="1004"/>
        </w:numPr>
        <w:pStyle w:val="Compact"/>
      </w:pPr>
      <w:r>
        <w:t xml:space="preserve">Community Events: $55,500 (materials, staffing for pop-ups)</w:t>
      </w:r>
    </w:p>
    <w:p>
      <w:pPr>
        <w:numPr>
          <w:ilvl w:val="0"/>
          <w:numId w:val="1004"/>
        </w:numPr>
        <w:pStyle w:val="Compact"/>
      </w:pPr>
      <w:r>
        <w:t xml:space="preserve">Partnerships &amp; PR: $37,000 (collaboration costs, press releases)</w:t>
      </w:r>
    </w:p>
    <w:p>
      <w:pPr>
        <w:numPr>
          <w:ilvl w:val="0"/>
          <w:numId w:val="1004"/>
        </w:numPr>
        <w:pStyle w:val="Compact"/>
      </w:pPr>
      <w:r>
        <w:t xml:space="preserve">Traditional Media &amp; Analytics: $18,500</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Website revamp with NYC localization; secure 3 community partnership agreements; launch initial Google Ads campaign.</w:t>
      </w:r>
    </w:p>
    <w:p>
      <w:pPr>
        <w:pStyle w:val="BodyText"/>
      </w:pPr>
      <w:r>
        <w:rPr>
          <w:bCs/>
          <w:b/>
        </w:rPr>
        <w:t xml:space="preserve">Months 4-6:</w:t>
      </w:r>
      <w:r>
        <w:t xml:space="preserve"> </w:t>
      </w:r>
      <w:r>
        <w:t xml:space="preserve">Execute first Eye Health Pop-Up in Queens; begin telehealth integration; submit to NYC Health + Hospitals network.</w:t>
      </w:r>
    </w:p>
    <w:p>
      <w:pPr>
        <w:pStyle w:val="BodyText"/>
      </w:pPr>
      <w:r>
        <w:rPr>
          <w:bCs/>
          <w:b/>
        </w:rPr>
        <w:t xml:space="preserve">Months 7-9:</w:t>
      </w:r>
      <w:r>
        <w:t xml:space="preserve"> </w:t>
      </w:r>
      <w:r>
        <w:t xml:space="preserve">Launch Spanish/Chinese language resources; initiate referral program with Harlem clinics.</w:t>
      </w:r>
    </w:p>
    <w:p>
      <w:pPr>
        <w:pStyle w:val="BodyText"/>
      </w:pPr>
      <w:r>
        <w:rPr>
          <w:bCs/>
          <w:b/>
        </w:rPr>
        <w:t xml:space="preserve">Months 10-12:</w:t>
      </w:r>
      <w:r>
        <w:t xml:space="preserve"> </w:t>
      </w:r>
      <w:r>
        <w:t xml:space="preserve">Analyze Year 1 metrics; adjust campaigns based on NYC-specific performance data (e.g., shifting budget to high-demand Bronx areas).</w:t>
      </w:r>
    </w:p>
    <w:bookmarkEnd w:id="27"/>
    <w:bookmarkStart w:id="28" w:name="conclusion"/>
    <w:p>
      <w:pPr>
        <w:pStyle w:val="Heading2"/>
      </w:pPr>
      <w:r>
        <w:t xml:space="preserve">Conclusion</w:t>
      </w:r>
    </w:p>
    <w:p>
      <w:pPr>
        <w:pStyle w:val="FirstParagraph"/>
      </w:pPr>
      <w:r>
        <w:t xml:space="preserve">This Marketing Plan positions the ophthalmologist practice as an indispensable healthcare partner within United States New York City. By leveraging NYC's cultural diversity, addressing underserved community needs through hyperlocal strategies, and integrating technology for seamless patient experiences across boroughs, we will transform from a competitive clinic into the region’s most trusted eye care provider. The focus on measurable community impact – not just patient numbers – aligns with NYC's public health priorities and ensures sustainable growth. As an ophthalmologist deeply embedded in New York City's healthcare ecosystem, this plan delivers both immediate visibility and long-term brand equity within the world's most dynamic metropolitan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New York City, United States</dc:title>
  <dc:creator/>
  <dc:language>en</dc:language>
  <cp:keywords/>
  <dcterms:created xsi:type="dcterms:W3CDTF">2026-07-25T02:23:50Z</dcterms:created>
  <dcterms:modified xsi:type="dcterms:W3CDTF">2026-07-25T02:23:50Z</dcterms:modified>
</cp:coreProperties>
</file>

<file path=docProps/custom.xml><?xml version="1.0" encoding="utf-8"?>
<Properties xmlns="http://schemas.openxmlformats.org/officeDocument/2006/custom-properties" xmlns:vt="http://schemas.openxmlformats.org/officeDocument/2006/docPropsVTypes"/>
</file>