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a9fc9edfe052bdc9140a2535cab4edd1d5578f6"/>
    <w:p>
      <w:pPr>
        <w:pStyle w:val="Heading1"/>
      </w:pPr>
      <w:r>
        <w:t xml:space="preserve">Comprehensive Marketing Plan for Premium Ophthalmologist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Tashkent, Uzbekistan. Recognizing the critical need for accessible, high-quality eye care services in one of Central Asia's most populous urban centers, this plan focuses on positioning our clinic as the trusted provider of advanced ophthalmological solutions. With Tashkent's population exceeding 2.5 million and rising demand driven by aging demographics, increased screen time, and prevalent conditions like cataracts and diabetic retinopathy (affecting over 15% of Uzbekistan's adult population), this initiative addresses a significant healthcare gap. The plan integrates culturally sensitive marketing tactics tailored to Tashkent's unique socio-economic landscape while emphasizing the expertise of our board-certified ophthalmologist.</w:t>
      </w:r>
    </w:p>
    <w:bookmarkEnd w:id="20"/>
    <w:bookmarkStart w:id="21" w:name="X18b6afd090814f275833d58350d9cc4a0ba71cd"/>
    <w:p>
      <w:pPr>
        <w:pStyle w:val="Heading2"/>
      </w:pPr>
      <w:r>
        <w:t xml:space="preserve">Market Analysis: Ophthalmology in Uzbekistan Tashkent</w:t>
      </w:r>
    </w:p>
    <w:p>
      <w:pPr>
        <w:pStyle w:val="FirstParagraph"/>
      </w:pPr>
      <w:r>
        <w:t xml:space="preserve">Tashkent represents Uzbekistan's primary healthcare hub, yet faces substantial challenges in eye care accessibility. According to the World Health Organization (WHO), blindness and visual impairment rates remain elevated due to limited screening infrastructure, financial barriers for advanced treatments, and low public awareness. Current market analysis reveals:</w:t>
      </w:r>
    </w:p>
    <w:p>
      <w:pPr>
        <w:numPr>
          <w:ilvl w:val="0"/>
          <w:numId w:val="1001"/>
        </w:numPr>
        <w:pStyle w:val="Compact"/>
      </w:pPr>
      <w:r>
        <w:t xml:space="preserve">Only 2 ophthalmologists per 100,000 residents in Uzbekistan (vs. global average of 5.6)</w:t>
      </w:r>
    </w:p>
    <w:p>
      <w:pPr>
        <w:numPr>
          <w:ilvl w:val="0"/>
          <w:numId w:val="1001"/>
        </w:numPr>
        <w:pStyle w:val="Compact"/>
      </w:pPr>
      <w:r>
        <w:t xml:space="preserve">Over 75% of Tashkent's population lacks regular eye examinations</w:t>
      </w:r>
    </w:p>
    <w:p>
      <w:pPr>
        <w:numPr>
          <w:ilvl w:val="0"/>
          <w:numId w:val="1001"/>
        </w:numPr>
        <w:pStyle w:val="Compact"/>
      </w:pPr>
      <w:r>
        <w:t xml:space="preserve">Cataract surgery demand exceeds supply by 4:1 in the capital region</w:t>
      </w:r>
    </w:p>
    <w:p>
      <w:pPr>
        <w:pStyle w:val="FirstParagraph"/>
      </w:pPr>
      <w:r>
        <w:t xml:space="preserve">This gap presents a compelling opportunity for a specialized ophthalmologist practice. The Uzbekistan government's "Vision 2030" healthcare initiative prioritizes expanding ophthalmic services, creating favorable regulatory conditions for private providers who meet accreditation standards. Tashkent's growing middle class (projected to reach 50% of population by 2025) demonstrates increasing willingness to invest in premium health services, particularly for family eye care.</w:t>
      </w:r>
    </w:p>
    <w:bookmarkEnd w:id="21"/>
    <w:bookmarkStart w:id="22" w:name="target-audience"/>
    <w:p>
      <w:pPr>
        <w:pStyle w:val="Heading2"/>
      </w:pPr>
      <w:r>
        <w:t xml:space="preserve">Target Audience</w:t>
      </w:r>
    </w:p>
    <w:p>
      <w:pPr>
        <w:pStyle w:val="FirstParagraph"/>
      </w:pPr>
      <w:r>
        <w:t xml:space="preserve">Our primary segments in Tashkent include:</w:t>
      </w:r>
    </w:p>
    <w:p>
      <w:pPr>
        <w:numPr>
          <w:ilvl w:val="0"/>
          <w:numId w:val="1002"/>
        </w:numPr>
        <w:pStyle w:val="Compact"/>
      </w:pPr>
      <w:r>
        <w:rPr>
          <w:bCs/>
          <w:b/>
        </w:rPr>
        <w:t xml:space="preserve">Urban Professionals (30-55 years):</w:t>
      </w:r>
      <w:r>
        <w:t xml:space="preserve"> </w:t>
      </w:r>
      <w:r>
        <w:t xml:space="preserve">High screen time, early detection needs for diabetic retinopathy and macular degeneration. Value time efficiency and advanced technology.</w:t>
      </w:r>
    </w:p>
    <w:p>
      <w:pPr>
        <w:numPr>
          <w:ilvl w:val="0"/>
          <w:numId w:val="1002"/>
        </w:numPr>
        <w:pStyle w:val="Compact"/>
      </w:pPr>
      <w:r>
        <w:rPr>
          <w:bCs/>
          <w:b/>
        </w:rPr>
        <w:t xml:space="preserve">Aging Population (60+ years):</w:t>
      </w:r>
      <w:r>
        <w:t xml:space="preserve"> </w:t>
      </w:r>
      <w:r>
        <w:t xml:space="preserve">Cataract, glaucoma, and age-related macular degeneration prevalence drives routine care demand. Prioritize trust, affordability (with insurance partnerships), and family involvement in care decisions.</w:t>
      </w:r>
    </w:p>
    <w:p>
      <w:pPr>
        <w:numPr>
          <w:ilvl w:val="0"/>
          <w:numId w:val="1002"/>
        </w:numPr>
        <w:pStyle w:val="Compact"/>
      </w:pPr>
      <w:r>
        <w:rPr>
          <w:bCs/>
          <w:b/>
        </w:rPr>
        <w:t xml:space="preserve">Parents of Children with Vision Concerns:</w:t>
      </w:r>
      <w:r>
        <w:t xml:space="preserve"> </w:t>
      </w:r>
      <w:r>
        <w:t xml:space="preserve">Rising myopia rates among youth necessitate pediatric ophthalmology services. Influenced by community recommendations and educational content.</w:t>
      </w:r>
    </w:p>
    <w:p>
      <w:pPr>
        <w:pStyle w:val="FirstParagraph"/>
      </w:pPr>
      <w:r>
        <w:t xml:space="preserve">All segments prioritize clinics offering Uzbek language support, transparent pricing (in UZS/USD), and culturally attuned communication – a key differentiator from foreign-run facilities.</w:t>
      </w:r>
    </w:p>
    <w:bookmarkEnd w:id="22"/>
    <w:bookmarkStart w:id="23" w:name="unique-value-proposition"/>
    <w:p>
      <w:pPr>
        <w:pStyle w:val="Heading2"/>
      </w:pPr>
      <w:r>
        <w:t xml:space="preserve">Unique Value Proposition</w:t>
      </w:r>
    </w:p>
    <w:p>
      <w:pPr>
        <w:pStyle w:val="FirstParagraph"/>
      </w:pPr>
      <w:r>
        <w:t xml:space="preserve">Our Tashkent-based ophthalmologist delivers:</w:t>
      </w:r>
    </w:p>
    <w:p>
      <w:pPr>
        <w:numPr>
          <w:ilvl w:val="0"/>
          <w:numId w:val="1003"/>
        </w:numPr>
        <w:pStyle w:val="Compact"/>
      </w:pPr>
      <w:r>
        <w:rPr>
          <w:bCs/>
          <w:b/>
        </w:rPr>
        <w:t xml:space="preserve">Clinical Excellence:</w:t>
      </w:r>
      <w:r>
        <w:t xml:space="preserve"> </w:t>
      </w:r>
      <w:r>
        <w:t xml:space="preserve">Board-certified ophthalmologist with 15+ years of experience, including training at Moscow Eye Institute and certification in laser cataract surgery.</w:t>
      </w:r>
    </w:p>
    <w:p>
      <w:pPr>
        <w:numPr>
          <w:ilvl w:val="0"/>
          <w:numId w:val="1003"/>
        </w:numPr>
        <w:pStyle w:val="Compact"/>
      </w:pPr>
      <w:r>
        <w:rPr>
          <w:bCs/>
          <w:b/>
        </w:rPr>
        <w:t xml:space="preserve">Technology Access:</w:t>
      </w:r>
      <w:r>
        <w:t xml:space="preserve"> </w:t>
      </w:r>
      <w:r>
        <w:t xml:space="preserve">First clinic in Tashkent to offer OCT scanning, YAG laser capsulotomy, and tele-ophthalmology for rural satellite clinics.</w:t>
      </w:r>
    </w:p>
    <w:p>
      <w:pPr>
        <w:numPr>
          <w:ilvl w:val="0"/>
          <w:numId w:val="1003"/>
        </w:numPr>
        <w:pStyle w:val="Compact"/>
      </w:pPr>
      <w:r>
        <w:rPr>
          <w:bCs/>
          <w:b/>
        </w:rPr>
        <w:t xml:space="preserve">Cultural Integration:</w:t>
      </w:r>
      <w:r>
        <w:t xml:space="preserve"> </w:t>
      </w:r>
      <w:r>
        <w:t xml:space="preserve">Uzbek staff trained in patient-centered care; services available during evening/weekend hours aligning with local work patterns.</w:t>
      </w:r>
    </w:p>
    <w:p>
      <w:pPr>
        <w:numPr>
          <w:ilvl w:val="0"/>
          <w:numId w:val="1003"/>
        </w:numPr>
        <w:pStyle w:val="Compact"/>
      </w:pPr>
      <w:r>
        <w:rPr>
          <w:bCs/>
          <w:b/>
        </w:rPr>
        <w:t xml:space="preserve">Financial Transparency:</w:t>
      </w:r>
      <w:r>
        <w:t xml:space="preserve"> </w:t>
      </w:r>
      <w:r>
        <w:t xml:space="preserve">Fixed pricing for common procedures (e.g., cataract surgery at $350 USD, inclusive of all costs) – a rarity in Uzbekistan's healthcare market.</w:t>
      </w:r>
    </w:p>
    <w:bookmarkEnd w:id="23"/>
    <w:bookmarkStart w:id="24" w:name="marketing-strategy-tactics"/>
    <w:p>
      <w:pPr>
        <w:pStyle w:val="Heading2"/>
      </w:pPr>
      <w:r>
        <w:t xml:space="preserve">Marketing Strategy &amp; Tactics</w:t>
      </w:r>
    </w:p>
    <w:p>
      <w:pPr>
        <w:pStyle w:val="FirstParagraph"/>
      </w:pPr>
      <w:r>
        <w:rPr>
          <w:iCs/>
          <w:i/>
        </w:rPr>
        <w:t xml:space="preserve">Digital &amp; Community Engagement:</w:t>
      </w:r>
      <w:r>
        <w:t xml:space="preserve"> </w:t>
      </w:r>
      <w:r>
        <w:t xml:space="preserve">• Launch targeted Facebook/Instagram campaigns with content in Uzbek and Russian, featuring short videos of the ophthalmologist explaining common conditions (e.g., "What is Glaucoma? - Tashkent Eye Clinic Explains").</w:t>
      </w:r>
      <w:r>
        <w:t xml:space="preserve"> </w:t>
      </w:r>
      <w:r>
        <w:t xml:space="preserve">• Partner with local community centers in Chilanzar and Mirzo-Ulugbek districts for free monthly vision screenings (leveraging government health outreach programs).</w:t>
      </w:r>
      <w:r>
        <w:t xml:space="preserve"> </w:t>
      </w:r>
      <w:r>
        <w:t xml:space="preserve">• Develop a user-friendly clinic website with online appointment booking (available in Uzbek) and blog addressing "Eye Health Myths in Uzbekistan".</w:t>
      </w:r>
    </w:p>
    <w:p>
      <w:pPr>
        <w:pStyle w:val="BodyText"/>
      </w:pPr>
      <w:r>
        <w:rPr>
          <w:iCs/>
          <w:i/>
        </w:rPr>
        <w:t xml:space="preserve">Trust Building:</w:t>
      </w:r>
      <w:r>
        <w:t xml:space="preserve"> </w:t>
      </w:r>
      <w:r>
        <w:t xml:space="preserve">• Secure endorsements from respected Tashkent-based physicians for referrals.</w:t>
      </w:r>
      <w:r>
        <w:t xml:space="preserve"> </w:t>
      </w:r>
      <w:r>
        <w:t xml:space="preserve">• Publish case studies (with patient consent) showing successful outcomes in local context, e.g., "Recovering Vision: A Tashkent Teacher's Story".</w:t>
      </w:r>
      <w:r>
        <w:t xml:space="preserve"> </w:t>
      </w:r>
      <w:r>
        <w:t xml:space="preserve">• Host quarterly free educational seminars at public libraries on topics like "Preventing Diabetic Eye Damage" – featuring the ophthalmologist.</w:t>
      </w:r>
    </w:p>
    <w:p>
      <w:pPr>
        <w:pStyle w:val="BodyText"/>
      </w:pPr>
      <w:r>
        <w:rPr>
          <w:iCs/>
          <w:i/>
        </w:rPr>
        <w:t xml:space="preserve">Strategic Partnerships:</w:t>
      </w:r>
      <w:r>
        <w:t xml:space="preserve"> </w:t>
      </w:r>
      <w:r>
        <w:t xml:space="preserve">• Collaborate with Uzbekistan's Social Security Fund (SSS) for insurance-accepted services.</w:t>
      </w:r>
      <w:r>
        <w:t xml:space="preserve"> </w:t>
      </w:r>
      <w:r>
        <w:t xml:space="preserve">• Partner with major Tashkent employers (e.g., Uztelekom, Tashkent Metro) for corporate health packages including eye exams.</w:t>
      </w:r>
      <w:r>
        <w:t xml:space="preserve"> </w:t>
      </w:r>
      <w:r>
        <w:t xml:space="preserve">• Sponsor youth sports events to build visibility among families.</w:t>
      </w:r>
    </w:p>
    <w:bookmarkEnd w:id="24"/>
    <w:bookmarkStart w:id="25" w:name="marketing-budget-allocation-year-1"/>
    <w:p>
      <w:pPr>
        <w:pStyle w:val="Heading2"/>
      </w:pPr>
      <w:r>
        <w:t xml:space="preserve">Marketing Budget Allocation (Year 1)</w:t>
      </w:r>
    </w:p>
    <w:p>
      <w:pPr>
        <w:pStyle w:val="FirstParagraph"/>
      </w:pPr>
      <w:r>
        <w:t xml:space="preserve">Activity</w:t>
      </w:r>
    </w:p>
    <w:p>
      <w:pPr>
        <w:pStyle w:val="BodyText"/>
      </w:pPr>
      <w:r>
        <w:t xml:space="preserve">Allocation (USD)</w:t>
      </w:r>
    </w:p>
    <w:p>
      <w:pPr>
        <w:pStyle w:val="BodyText"/>
      </w:pPr>
      <w:r>
        <w:t xml:space="preserve">Rationale</w:t>
      </w:r>
    </w:p>
    <w:p>
      <w:pPr>
        <w:pStyle w:val="BodyText"/>
      </w:pPr>
      <w:r>
        <w:t xml:space="preserve">Digital Campaigns (Social Media, SEO)</w:t>
      </w:r>
    </w:p>
    <w:p>
      <w:pPr>
        <w:pStyle w:val="BodyText"/>
      </w:pPr>
      <w:r>
        <w:t xml:space="preserve">$8,500</w:t>
      </w:r>
    </w:p>
    <w:p>
      <w:pPr>
        <w:pStyle w:val="BodyText"/>
      </w:pPr>
      <w:r>
        <w:t xml:space="preserve">Largest audience reach in Tashkent; cost-effective for local targeting</w:t>
      </w:r>
    </w:p>
    <w:p>
      <w:pPr>
        <w:pStyle w:val="BodyText"/>
      </w:pPr>
      <w:r>
        <w:t xml:space="preserve">Community Screenings &amp; Seminars</w:t>
      </w:r>
    </w:p>
    <w:p>
      <w:pPr>
        <w:pStyle w:val="BodyText"/>
      </w:pPr>
      <w:r>
        <w:t xml:space="preserve">$6,200</w:t>
      </w:r>
    </w:p>
    <w:p>
      <w:pPr>
        <w:pStyle w:val="BodyText"/>
      </w:pPr>
      <w:r>
        <w:t xml:space="preserve">Builds trust and provides lead generation in high-demand neighborhoods.</w:t>
      </w:r>
    </w:p>
    <w:p>
      <w:pPr>
        <w:pStyle w:val="BodyText"/>
      </w:pPr>
      <w:r>
        <w:t xml:space="preserve">Patient Testimonial Content Creation</w:t>
      </w:r>
    </w:p>
    <w:p>
      <w:pPr>
        <w:pStyle w:val="BodyText"/>
      </w:pPr>
      <w:r>
        <w:t xml:space="preserve">$3,800</w:t>
      </w:r>
    </w:p>
    <w:p>
      <w:pPr>
        <w:pStyle w:val="BodyText"/>
      </w:pPr>
      <w:r>
        <w:t xml:space="preserve">Critical for credibility; features real Tashkent patients.</w:t>
      </w:r>
    </w:p>
    <w:p>
      <w:pPr>
        <w:pStyle w:val="BodyText"/>
      </w:pPr>
      <w:r>
        <w:t xml:space="preserve">Strategic Partnerships (SSS, Corporate)</w:t>
      </w:r>
    </w:p>
    <w:p>
      <w:pPr>
        <w:pStyle w:val="BodyText"/>
      </w:pPr>
      <w:r>
        <w:t xml:space="preserve">$5,500</w:t>
      </w:r>
    </w:p>
    <w:p>
      <w:pPr>
        <w:pStyle w:val="BodyText"/>
      </w:pPr>
      <w:r>
        <w:t xml:space="preserve">Total</w:t>
      </w:r>
    </w:p>
    <w:p>
      <w:pPr>
        <w:pStyle w:val="BodyText"/>
      </w:pPr>
      <w:r>
        <w:t xml:space="preserve">$24,000</w:t>
      </w:r>
    </w:p>
    <w:bookmarkEnd w:id="25"/>
    <w:bookmarkStart w:id="26" w:name="measurable-goals-timeline"/>
    <w:p>
      <w:pPr>
        <w:pStyle w:val="Heading2"/>
      </w:pPr>
      <w:r>
        <w:t xml:space="preserve">Measurable Goals &amp; Timeline</w:t>
      </w:r>
    </w:p>
    <w:p>
      <w:pPr>
        <w:pStyle w:val="FirstParagraph"/>
      </w:pPr>
      <w:r>
        <w:t xml:space="preserve">Within 18 months of launch in Tashkent:</w:t>
      </w:r>
      <w:r>
        <w:t xml:space="preserve"> </w:t>
      </w:r>
      <w:r>
        <w:t xml:space="preserve">• Achieve 45% market share among private ophthalmology clinics in the capital (from current industry average of ~20%).</w:t>
      </w:r>
      <w:r>
        <w:t xml:space="preserve"> </w:t>
      </w:r>
      <w:r>
        <w:t xml:space="preserve">• Acquire 1,200 new patients through targeted campaigns (35% from digital channels, 40% from community events).</w:t>
      </w:r>
      <w:r>
        <w:t xml:space="preserve"> </w:t>
      </w:r>
      <w:r>
        <w:t xml:space="preserve">• Maintain &gt;92% patient satisfaction rate via post-visit surveys.</w:t>
      </w:r>
      <w:r>
        <w:t xml:space="preserve"> </w:t>
      </w:r>
      <w:r>
        <w:t xml:space="preserve">• Secure SSS partnership covering 65+ corporate clients across Tashkent.</w:t>
      </w:r>
    </w:p>
    <w:bookmarkEnd w:id="26"/>
    <w:bookmarkStart w:id="27" w:name="Xe0cb41f170cd24c61c4f5a5d05287dccddb54f1"/>
    <w:p>
      <w:pPr>
        <w:pStyle w:val="Heading2"/>
      </w:pPr>
      <w:r>
        <w:t xml:space="preserve">Why This Plan Succeeds in Uzbekistan Tashkent</w:t>
      </w:r>
    </w:p>
    <w:p>
      <w:pPr>
        <w:pStyle w:val="FirstParagraph"/>
      </w:pPr>
      <w:r>
        <w:t xml:space="preserve">This Marketing Plan is uniquely adapted to the realities of Tashkent and Uzbekistan. It transcends generic healthcare marketing by embedding cultural intelligence – from language support and community engagement to pricing transparency that respects local purchasing power. The focus on a board-certified ophthalmologist's expertise addresses the trust deficit in private eye care, while partnerships with local institutions (SSS, employers) align with Uzbekistan's public-private healthcare collaboration model. By making advanced ophthalmology accessible within Tashkent's socio-economic context and leveraging the growing demand for preventive care under Vision 2030, this plan positions our clinic not merely as a service provider but as an essential community health partner in Uzbekistan.</w:t>
      </w:r>
    </w:p>
    <w:bookmarkEnd w:id="27"/>
    <w:bookmarkStart w:id="28" w:name="conclusion"/>
    <w:p>
      <w:pPr>
        <w:pStyle w:val="Heading2"/>
      </w:pPr>
      <w:r>
        <w:t xml:space="preserve">Conclusion</w:t>
      </w:r>
    </w:p>
    <w:p>
      <w:pPr>
        <w:pStyle w:val="FirstParagraph"/>
      </w:pPr>
      <w:r>
        <w:t xml:space="preserve">This Marketing Plan delivers a clear, actionable roadmap for establishing a leading ophthalmologist practice in Tashkent, Uzbekistan. It strategically addresses the critical gap in eye care services through culturally resonant marketing tactics that build trust while prioritizing the clinical excellence of our ophthalmologist. With measurable targets aligned to Uzbekistan's healthcare priorities and Tashkent's urban dynamics, this initiative will transform how eye health is perceived and delivered in Central Asia. The ultimate success will be reflected in healthier Tashkent communities, supported by sustainable growth for our ophthalmology practice within Uzbekistan's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Tashkent, Uzbekistan</dc:title>
  <dc:creator/>
  <dc:language>en</dc:language>
  <cp:keywords/>
  <dcterms:created xsi:type="dcterms:W3CDTF">2026-07-24T08:36:55Z</dcterms:created>
  <dcterms:modified xsi:type="dcterms:W3CDTF">2026-07-24T08:36:55Z</dcterms:modified>
</cp:coreProperties>
</file>

<file path=docProps/custom.xml><?xml version="1.0" encoding="utf-8"?>
<Properties xmlns="http://schemas.openxmlformats.org/officeDocument/2006/custom-properties" xmlns:vt="http://schemas.openxmlformats.org/officeDocument/2006/docPropsVTypes"/>
</file>