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Optometrist</w:t>
      </w:r>
      <w:r>
        <w:t xml:space="preserve"> </w:t>
      </w:r>
      <w:r>
        <w:t xml:space="preserve">Practice</w:t>
      </w:r>
      <w:r>
        <w:t xml:space="preserve"> </w:t>
      </w:r>
      <w:r>
        <w:t xml:space="preserve">in</w:t>
      </w:r>
      <w:r>
        <w:t xml:space="preserve"> </w:t>
      </w:r>
      <w:r>
        <w:t xml:space="preserve">Indonesia</w:t>
      </w:r>
      <w:r>
        <w:t xml:space="preserve"> </w:t>
      </w:r>
      <w:r>
        <w:t xml:space="preserve">Jakarta</w:t>
      </w:r>
    </w:p>
    <w:bookmarkStart w:id="32" w:name="Xb041c39d76fba07a067effe439b0485f52a251e"/>
    <w:p>
      <w:pPr>
        <w:pStyle w:val="Heading1"/>
      </w:pPr>
      <w:r>
        <w:t xml:space="preserve">Comprehensive Marketing Plan for Premier Optometrist Practice in Indonesia Jakarta</w:t>
      </w:r>
    </w:p>
    <w:bookmarkStart w:id="20" w:name="executive-summary"/>
    <w:p>
      <w:pPr>
        <w:pStyle w:val="Heading2"/>
      </w:pPr>
      <w:r>
        <w:t xml:space="preserve">Executive Summary</w:t>
      </w:r>
    </w:p>
    <w:p>
      <w:pPr>
        <w:pStyle w:val="FirstParagraph"/>
      </w:pPr>
      <w:r>
        <w:t xml:space="preserve">This Marketing Plan outlines a strategic roadmap to establish and grow a premium optometrist practice in the competitive healthcare landscape of Indonesia Jakarta. With Jakarta's population exceeding 10 million and rising demand for specialized eye care, this plan leverages local market insights to position our practice as the premier destination for comprehensive vision services. The strategy focuses on digital engagement, community partnerships, and culturally tailored patient experiences to achieve a 35% patient acquisition growth within 18 months while building lasting brand authority in Indonesia Jakarta's optometry sector.</w:t>
      </w:r>
    </w:p>
    <w:bookmarkEnd w:id="20"/>
    <w:bookmarkStart w:id="21" w:name="Xf7c4ce2a1bd9f679e241a01c445d2883bc4d992"/>
    <w:p>
      <w:pPr>
        <w:pStyle w:val="Heading2"/>
      </w:pPr>
      <w:r>
        <w:t xml:space="preserve">Market Analysis: Optometrist Landscape in Indonesia Jakarta</w:t>
      </w:r>
    </w:p>
    <w:p>
      <w:pPr>
        <w:pStyle w:val="FirstParagraph"/>
      </w:pPr>
      <w:r>
        <w:t xml:space="preserve">Indonesia Jakarta faces critical eye care challenges including high rates of uncorrected refractive errors (estimated at 30% of the urban population) and limited access to advanced optometric services. The market is dominated by traditional clinics lacking modern diagnostic equipment and patient-centric approaches. Competitor analysis reveals a gap in practices offering integrated solutions—combining cutting-edge technology, preventive care education, and multilingual support for Jakarta's diverse demographic (including large Chinese-Indonesian, Arab, and expatriate communities). This presents a significant opportunity for our optometrist practice to differentiate through:</w:t>
      </w:r>
    </w:p>
    <w:p>
      <w:pPr>
        <w:numPr>
          <w:ilvl w:val="0"/>
          <w:numId w:val="1001"/>
        </w:numPr>
        <w:pStyle w:val="Compact"/>
      </w:pPr>
      <w:r>
        <w:t xml:space="preserve">State-of-the-art digital eye screening systems</w:t>
      </w:r>
    </w:p>
    <w:p>
      <w:pPr>
        <w:numPr>
          <w:ilvl w:val="0"/>
          <w:numId w:val="1001"/>
        </w:numPr>
        <w:pStyle w:val="Compact"/>
      </w:pPr>
      <w:r>
        <w:t xml:space="preserve">Culturally sensitive patient communication in Bahasa Indonesia and English</w:t>
      </w:r>
    </w:p>
    <w:p>
      <w:pPr>
        <w:numPr>
          <w:ilvl w:val="0"/>
          <w:numId w:val="1001"/>
        </w:numPr>
        <w:pStyle w:val="Compact"/>
      </w:pPr>
      <w:r>
        <w:t xml:space="preserve">Telemedicine consultations for remote communities</w:t>
      </w:r>
    </w:p>
    <w:bookmarkEnd w:id="21"/>
    <w:bookmarkStart w:id="22" w:name="target-audience-segmentation"/>
    <w:p>
      <w:pPr>
        <w:pStyle w:val="Heading2"/>
      </w:pPr>
      <w:r>
        <w:t xml:space="preserve">Target Audience Segmentation</w:t>
      </w:r>
    </w:p>
    <w:p>
      <w:pPr>
        <w:pStyle w:val="FirstParagraph"/>
      </w:pPr>
      <w:r>
        <w:t xml:space="preserve">We prioritize three high-potential segments within Indonesia Jakarta:</w:t>
      </w:r>
    </w:p>
    <w:p>
      <w:pPr>
        <w:numPr>
          <w:ilvl w:val="0"/>
          <w:numId w:val="1002"/>
        </w:numPr>
        <w:pStyle w:val="Compact"/>
      </w:pPr>
      <w:r>
        <w:rPr>
          <w:bCs/>
          <w:b/>
        </w:rPr>
        <w:t xml:space="preserve">Urban Professionals (25-45 years):</w:t>
      </w:r>
      <w:r>
        <w:t xml:space="preserve"> </w:t>
      </w:r>
      <w:r>
        <w:t xml:space="preserve">Office workers experiencing digital eye strain, seeking quick appointments and premium services. 68% of Jakarta's workforce reports vision issues linked to screen usage.</w:t>
      </w:r>
    </w:p>
    <w:p>
      <w:pPr>
        <w:numPr>
          <w:ilvl w:val="0"/>
          <w:numId w:val="1002"/>
        </w:numPr>
        <w:pStyle w:val="Compact"/>
      </w:pPr>
      <w:r>
        <w:rPr>
          <w:bCs/>
          <w:b/>
        </w:rPr>
        <w:t xml:space="preserve">Parents of School-Aged Children:</w:t>
      </w:r>
      <w:r>
        <w:t xml:space="preserve"> </w:t>
      </w:r>
      <w:r>
        <w:t xml:space="preserve">Concerned about myopia progression in children (affecting 50% of Indonesian youth), requiring pediatric eye exams and education on prevention.</w:t>
      </w:r>
    </w:p>
    <w:p>
      <w:pPr>
        <w:numPr>
          <w:ilvl w:val="0"/>
          <w:numId w:val="1002"/>
        </w:numPr>
        <w:pStyle w:val="Compact"/>
      </w:pPr>
      <w:r>
        <w:rPr>
          <w:bCs/>
          <w:b/>
        </w:rPr>
        <w:t xml:space="preserve">Senior Citizens (60+ years):</w:t>
      </w:r>
      <w:r>
        <w:t xml:space="preserve"> </w:t>
      </w:r>
      <w:r>
        <w:t xml:space="preserve">High prevalence of cataracts and glaucoma; value for preventive care and trusted local providers.</w:t>
      </w:r>
    </w:p>
    <w:bookmarkEnd w:id="22"/>
    <w:bookmarkStart w:id="23" w:name="marketing-objectives-18-month-horizon"/>
    <w:p>
      <w:pPr>
        <w:pStyle w:val="Heading2"/>
      </w:pPr>
      <w:r>
        <w:t xml:space="preserve">Marketing Objectives (18-Month Horizon)</w:t>
      </w:r>
    </w:p>
    <w:p>
      <w:pPr>
        <w:numPr>
          <w:ilvl w:val="0"/>
          <w:numId w:val="1003"/>
        </w:numPr>
        <w:pStyle w:val="Compact"/>
      </w:pPr>
      <w:r>
        <w:t xml:space="preserve">Achieve 5,000 patient consultations within Year 1</w:t>
      </w:r>
    </w:p>
    <w:p>
      <w:pPr>
        <w:numPr>
          <w:ilvl w:val="0"/>
          <w:numId w:val="1003"/>
        </w:numPr>
        <w:pStyle w:val="Compact"/>
      </w:pPr>
      <w:r>
        <w:t xml:space="preserve">Attain 85% patient satisfaction rate (measured via post-visit SMS surveys)</w:t>
      </w:r>
    </w:p>
    <w:p>
      <w:pPr>
        <w:numPr>
          <w:ilvl w:val="0"/>
          <w:numId w:val="1003"/>
        </w:numPr>
        <w:pStyle w:val="Compact"/>
      </w:pPr>
      <w:r>
        <w:t xml:space="preserve">Secure partnerships with 15+ Jakarta-based corporations for employee eye care programs</w:t>
      </w:r>
    </w:p>
    <w:p>
      <w:pPr>
        <w:numPr>
          <w:ilvl w:val="0"/>
          <w:numId w:val="1003"/>
        </w:numPr>
        <w:pStyle w:val="Compact"/>
      </w:pPr>
      <w:r>
        <w:t xml:space="preserve">Grow social media engagement by 200% through culturally relevant content</w:t>
      </w:r>
    </w:p>
    <w:bookmarkEnd w:id="23"/>
    <w:bookmarkStart w:id="27" w:name="strategic-marketing-framework"/>
    <w:p>
      <w:pPr>
        <w:pStyle w:val="Heading2"/>
      </w:pPr>
      <w:r>
        <w:t xml:space="preserve">Strategic Marketing Framework</w:t>
      </w:r>
    </w:p>
    <w:bookmarkStart w:id="24" w:name="X1c97270587960c829c9a4cc26d2be274ba74071"/>
    <w:p>
      <w:pPr>
        <w:pStyle w:val="Heading3"/>
      </w:pPr>
      <w:r>
        <w:t xml:space="preserve">1. Digital-First Patient Acquisition (45% of Budget)</w:t>
      </w:r>
    </w:p>
    <w:p>
      <w:pPr>
        <w:pStyle w:val="FirstParagraph"/>
      </w:pPr>
      <w:r>
        <w:t xml:space="preserve">In Indonesia Jakarta, 78% of healthcare seekers research online before booking (Statista 2023). Our strategy includes:</w:t>
      </w:r>
    </w:p>
    <w:p>
      <w:pPr>
        <w:numPr>
          <w:ilvl w:val="0"/>
          <w:numId w:val="1004"/>
        </w:numPr>
        <w:pStyle w:val="Compact"/>
      </w:pPr>
      <w:r>
        <w:rPr>
          <w:bCs/>
          <w:b/>
        </w:rPr>
        <w:t xml:space="preserve">Localized SEO Optimization:</w:t>
      </w:r>
      <w:r>
        <w:t xml:space="preserve"> </w:t>
      </w:r>
      <w:r>
        <w:t xml:space="preserve">Targeting keywords like "best optometrist Jakarta," "eye check up near me," and "myopia prevention Jakarta" with Bahasa Indonesia content.</w:t>
      </w:r>
    </w:p>
    <w:p>
      <w:pPr>
        <w:numPr>
          <w:ilvl w:val="0"/>
          <w:numId w:val="1004"/>
        </w:numPr>
        <w:pStyle w:val="Compact"/>
      </w:pPr>
      <w:r>
        <w:rPr>
          <w:bCs/>
          <w:b/>
        </w:rPr>
        <w:t xml:space="preserve">Strategic Social Media Campaigns:</w:t>
      </w:r>
      <w:r>
        <w:t xml:space="preserve"> </w:t>
      </w:r>
      <w:r>
        <w:t xml:space="preserve">Instagram and TikTok campaigns featuring:</w:t>
      </w:r>
    </w:p>
    <w:p>
      <w:pPr>
        <w:numPr>
          <w:ilvl w:val="1"/>
          <w:numId w:val="1005"/>
        </w:numPr>
        <w:pStyle w:val="Compact"/>
      </w:pPr>
      <w:r>
        <w:t xml:space="preserve">Daily eye health tips in Bahasa Indonesia (e.g., "5 Minute Eye Exercises for Office Workers")</w:t>
      </w:r>
    </w:p>
    <w:p>
      <w:pPr>
        <w:numPr>
          <w:ilvl w:val="1"/>
          <w:numId w:val="1005"/>
        </w:numPr>
        <w:pStyle w:val="Compact"/>
      </w:pPr>
      <w:r>
        <w:t xml:space="preserve">User-generated content challenges like #JakartaEyeCareChallenge with local influencers</w:t>
      </w:r>
    </w:p>
    <w:p>
      <w:pPr>
        <w:numPr>
          <w:ilvl w:val="0"/>
          <w:numId w:val="1004"/>
        </w:numPr>
        <w:pStyle w:val="Compact"/>
      </w:pPr>
      <w:r>
        <w:rPr>
          <w:bCs/>
          <w:b/>
        </w:rPr>
        <w:t xml:space="preserve">Telemedicine Integration:</w:t>
      </w:r>
      <w:r>
        <w:t xml:space="preserve"> </w:t>
      </w:r>
      <w:r>
        <w:t xml:space="preserve">Free 15-minute virtual consultations via WhatsApp for Jakarta residents, reducing barrier to entry.</w:t>
      </w:r>
    </w:p>
    <w:bookmarkEnd w:id="24"/>
    <w:bookmarkStart w:id="25" w:name="Xc6cc2dda7e78f6bbe54b9628d002056be4fbeb5"/>
    <w:p>
      <w:pPr>
        <w:pStyle w:val="Heading3"/>
      </w:pPr>
      <w:r>
        <w:t xml:space="preserve">2. Community Engagement &amp; Strategic Partnerships (30% of Budget)</w:t>
      </w:r>
    </w:p>
    <w:p>
      <w:pPr>
        <w:pStyle w:val="FirstParagraph"/>
      </w:pPr>
      <w:r>
        <w:t xml:space="preserve">Leveraging Jakarta's community-centric culture:</w:t>
      </w:r>
    </w:p>
    <w:p>
      <w:pPr>
        <w:numPr>
          <w:ilvl w:val="0"/>
          <w:numId w:val="1006"/>
        </w:numPr>
        <w:pStyle w:val="Compact"/>
      </w:pPr>
      <w:r>
        <w:rPr>
          <w:bCs/>
          <w:b/>
        </w:rPr>
        <w:t xml:space="preserve">School Vision Screening Programs:</w:t>
      </w:r>
      <w:r>
        <w:t xml:space="preserve"> </w:t>
      </w:r>
      <w:r>
        <w:t xml:space="preserve">Partnering with 50+ public schools across Jakarta to provide free screenings, building trust with parents while identifying pediatric cases.</w:t>
      </w:r>
    </w:p>
    <w:p>
      <w:pPr>
        <w:numPr>
          <w:ilvl w:val="0"/>
          <w:numId w:val="1006"/>
        </w:numPr>
        <w:pStyle w:val="Compact"/>
      </w:pPr>
      <w:r>
        <w:rPr>
          <w:bCs/>
          <w:b/>
        </w:rPr>
        <w:t xml:space="preserve">Corporate Wellness Collaborations:</w:t>
      </w:r>
      <w:r>
        <w:t xml:space="preserve"> </w:t>
      </w:r>
      <w:r>
        <w:t xml:space="preserve">Offering "Eyes at Work" packages to companies like Gojek and Tokopedia, including on-site exams for employees.</w:t>
      </w:r>
    </w:p>
    <w:p>
      <w:pPr>
        <w:numPr>
          <w:ilvl w:val="0"/>
          <w:numId w:val="1006"/>
        </w:numPr>
        <w:pStyle w:val="Compact"/>
      </w:pPr>
      <w:r>
        <w:rPr>
          <w:bCs/>
          <w:b/>
        </w:rPr>
        <w:t xml:space="preserve">Religious Institution Partnerships:</w:t>
      </w:r>
      <w:r>
        <w:t xml:space="preserve"> </w:t>
      </w:r>
      <w:r>
        <w:t xml:space="preserve">Hosting eye care workshops at mosques and churches in diverse Jakarta neighborhoods (e.g., Cipete, Kebayoran Baru).</w:t>
      </w:r>
    </w:p>
    <w:bookmarkEnd w:id="25"/>
    <w:bookmarkStart w:id="26" w:name="X3312827b010dd5185fd4474c8144270ec5cd4c8"/>
    <w:p>
      <w:pPr>
        <w:pStyle w:val="Heading3"/>
      </w:pPr>
      <w:r>
        <w:t xml:space="preserve">3. Patient Experience Enhancement (25% of Budget)</w:t>
      </w:r>
    </w:p>
    <w:p>
      <w:pPr>
        <w:pStyle w:val="FirstParagraph"/>
      </w:pPr>
      <w:r>
        <w:t xml:space="preserve">Creating a culturally resonant practice environment:</w:t>
      </w:r>
    </w:p>
    <w:p>
      <w:pPr>
        <w:numPr>
          <w:ilvl w:val="0"/>
          <w:numId w:val="1007"/>
        </w:numPr>
        <w:pStyle w:val="Compact"/>
      </w:pPr>
      <w:r>
        <w:rPr>
          <w:bCs/>
          <w:b/>
        </w:rPr>
        <w:t xml:space="preserve">Multilingual Staffing:</w:t>
      </w:r>
      <w:r>
        <w:t xml:space="preserve"> </w:t>
      </w:r>
      <w:r>
        <w:t xml:space="preserve">All front-line staff trained in Bahasa Indonesia, English, and basic Mandarin/Arabic to serve Jakarta's multicultural population.</w:t>
      </w:r>
    </w:p>
    <w:p>
      <w:pPr>
        <w:numPr>
          <w:ilvl w:val="0"/>
          <w:numId w:val="1007"/>
        </w:numPr>
        <w:pStyle w:val="Compact"/>
      </w:pPr>
      <w:r>
        <w:rPr>
          <w:bCs/>
          <w:b/>
        </w:rPr>
        <w:t xml:space="preserve">Family-Centric Design:</w:t>
      </w:r>
      <w:r>
        <w:t xml:space="preserve"> </w:t>
      </w:r>
      <w:r>
        <w:t xml:space="preserve">Clinic layout featuring dedicated children's play zones with educational eye care toys (e.g., "Vision Detective" games).</w:t>
      </w:r>
    </w:p>
    <w:p>
      <w:pPr>
        <w:numPr>
          <w:ilvl w:val="0"/>
          <w:numId w:val="1007"/>
        </w:numPr>
        <w:pStyle w:val="Compact"/>
      </w:pPr>
      <w:r>
        <w:rPr>
          <w:bCs/>
          <w:b/>
        </w:rPr>
        <w:t xml:space="preserve">Cultural Sensitivity Training:</w:t>
      </w:r>
      <w:r>
        <w:t xml:space="preserve"> </w:t>
      </w:r>
      <w:r>
        <w:t xml:space="preserve">Staff trained in religious customs (e.g., modesty protocols for Muslim patients) and local dietary preferences during consultations.</w:t>
      </w:r>
    </w:p>
    <w:bookmarkEnd w:id="26"/>
    <w:bookmarkEnd w:id="27"/>
    <w:bookmarkStart w:id="28" w:name="budget-allocation"/>
    <w:p>
      <w:pPr>
        <w:pStyle w:val="Heading2"/>
      </w:pPr>
      <w:r>
        <w:t xml:space="preserve">Budget Allocation</w:t>
      </w:r>
    </w:p>
    <w:p>
      <w:pPr>
        <w:pStyle w:val="FirstParagraph"/>
      </w:pPr>
      <w:r>
        <w:t xml:space="preserve">Marketing Activity</w:t>
      </w:r>
    </w:p>
    <w:p>
      <w:pPr>
        <w:pStyle w:val="BodyText"/>
      </w:pPr>
      <w:r>
        <w:t xml:space="preserve">Allocation (%)</w:t>
      </w:r>
    </w:p>
    <w:p>
      <w:pPr>
        <w:pStyle w:val="BodyText"/>
      </w:pPr>
      <w:r>
        <w:t xml:space="preserve">Key Metrics</w:t>
      </w:r>
    </w:p>
    <w:p>
      <w:pPr>
        <w:pStyle w:val="BodyText"/>
      </w:pPr>
      <w:r>
        <w:t xml:space="preserve">Digital Marketing &amp; SEO</w:t>
      </w:r>
    </w:p>
    <w:p>
      <w:pPr>
        <w:pStyle w:val="BodyText"/>
      </w:pPr>
      <w:r>
        <w:t xml:space="preserve">45%</w:t>
      </w:r>
    </w:p>
    <w:p>
      <w:pPr>
        <w:pStyle w:val="BodyText"/>
      </w:pPr>
      <w:r>
        <w:t xml:space="preserve">Patient acquisition cost, website conversion rate</w:t>
      </w:r>
    </w:p>
    <w:p>
      <w:pPr>
        <w:pStyle w:val="BodyText"/>
      </w:pPr>
      <w:r>
        <w:t xml:space="preserve">Community Programs &amp; Partnerships</w:t>
      </w:r>
    </w:p>
    <w:p>
      <w:pPr>
        <w:pStyle w:val="BodyText"/>
      </w:pPr>
      <w:r>
        <w:t xml:space="preserve">30%</w:t>
      </w:r>
    </w:p>
    <w:p>
      <w:pPr>
        <w:pStyle w:val="BodyText"/>
      </w:pPr>
      <w:r>
        <w:t xml:space="preserve">School/corporate partnership count, referral volume</w:t>
      </w:r>
    </w:p>
    <w:p>
      <w:pPr>
        <w:pStyle w:val="BodyText"/>
      </w:pPr>
      <w:r>
        <w:t xml:space="preserve">Patient Experience Initiatives</w:t>
      </w:r>
    </w:p>
    <w:p>
      <w:pPr>
        <w:pStyle w:val="BodyText"/>
      </w:pPr>
      <w:r>
        <w:t xml:space="preserve">&lt;</w:t>
      </w:r>
    </w:p>
    <w:p>
      <w:pPr>
        <w:pStyle w:val="BodyText"/>
      </w:pPr>
      <w:r>
        <w:t xml:space="preserve">25%</w:t>
      </w:r>
    </w:p>
    <w:p>
      <w:pPr>
        <w:pStyle w:val="BodyText"/>
      </w:pPr>
      <w:r>
        <w:t xml:space="preserve">NPS score, repeat visit rate</w:t>
      </w:r>
    </w:p>
    <w:bookmarkEnd w:id="28"/>
    <w:bookmarkStart w:id="29" w:name="implementation-timeline"/>
    <w:p>
      <w:pPr>
        <w:pStyle w:val="Heading2"/>
      </w:pPr>
      <w:r>
        <w:t xml:space="preserve">Implementation Timeline</w:t>
      </w:r>
    </w:p>
    <w:p>
      <w:pPr>
        <w:numPr>
          <w:ilvl w:val="0"/>
          <w:numId w:val="1008"/>
        </w:numPr>
        <w:pStyle w:val="Compact"/>
      </w:pPr>
      <w:r>
        <w:rPr>
          <w:bCs/>
          <w:b/>
        </w:rPr>
        <w:t xml:space="preserve">Month 1-3:</w:t>
      </w:r>
      <w:r>
        <w:t xml:space="preserve"> </w:t>
      </w:r>
      <w:r>
        <w:t xml:space="preserve">Clinic branding overhaul, SEO optimization, and staff cultural training.</w:t>
      </w:r>
    </w:p>
    <w:p>
      <w:pPr>
        <w:numPr>
          <w:ilvl w:val="0"/>
          <w:numId w:val="1008"/>
        </w:numPr>
        <w:pStyle w:val="Compact"/>
      </w:pPr>
      <w:r>
        <w:rPr>
          <w:bCs/>
          <w:b/>
        </w:rPr>
        <w:t xml:space="preserve">Month 4-6:</w:t>
      </w:r>
      <w:r>
        <w:t xml:space="preserve"> </w:t>
      </w:r>
      <w:r>
        <w:t xml:space="preserve">Launch school partnership program; initiate corporate wellness agreements.</w:t>
      </w:r>
    </w:p>
    <w:p>
      <w:pPr>
        <w:numPr>
          <w:ilvl w:val="0"/>
          <w:numId w:val="1008"/>
        </w:numPr>
        <w:pStyle w:val="Compact"/>
      </w:pPr>
      <w:r>
        <w:rPr>
          <w:bCs/>
          <w:b/>
        </w:rPr>
        <w:t xml:space="preserve">Month 7-12:</w:t>
      </w:r>
      <w:r>
        <w:t xml:space="preserve"> </w:t>
      </w:r>
      <w:r>
        <w:t xml:space="preserve">Scale social media campaigns; introduce telemedicine service; expand to 3 new Jakarta neighborhoods.</w:t>
      </w:r>
    </w:p>
    <w:p>
      <w:pPr>
        <w:numPr>
          <w:ilvl w:val="0"/>
          <w:numId w:val="1008"/>
        </w:numPr>
        <w:pStyle w:val="Compact"/>
      </w:pPr>
      <w:r>
        <w:rPr>
          <w:bCs/>
          <w:b/>
        </w:rPr>
        <w:t xml:space="preserve">Month 13-18:</w:t>
      </w:r>
      <w:r>
        <w:t xml:space="preserve"> </w:t>
      </w:r>
      <w:r>
        <w:t xml:space="preserve">Analyze data, optimize high-performing channels, and launch premium membership program for repeat patients.</w:t>
      </w:r>
    </w:p>
    <w:bookmarkEnd w:id="29"/>
    <w:bookmarkStart w:id="30" w:name="evaluation-kpis"/>
    <w:p>
      <w:pPr>
        <w:pStyle w:val="Heading2"/>
      </w:pPr>
      <w:r>
        <w:t xml:space="preserve">Evaluation &amp; KPIs</w:t>
      </w:r>
    </w:p>
    <w:p>
      <w:pPr>
        <w:pStyle w:val="FirstParagraph"/>
      </w:pPr>
      <w:r>
        <w:t xml:space="preserve">We measure success through both quantitative and qualitative metrics specific to Indonesia Jakarta's market dynamics:</w:t>
      </w:r>
    </w:p>
    <w:p>
      <w:pPr>
        <w:numPr>
          <w:ilvl w:val="0"/>
          <w:numId w:val="1009"/>
        </w:numPr>
        <w:pStyle w:val="Compact"/>
      </w:pPr>
      <w:r>
        <w:rPr>
          <w:bCs/>
          <w:b/>
        </w:rPr>
        <w:t xml:space="preserve">Customer Acquisition Cost (CAC):</w:t>
      </w:r>
      <w:r>
        <w:t xml:space="preserve"> </w:t>
      </w:r>
      <w:r>
        <w:t xml:space="preserve">Target: Below Rp 150,000 per new patient (vs. industry average of Rp 220,000)</w:t>
      </w:r>
    </w:p>
    <w:p>
      <w:pPr>
        <w:numPr>
          <w:ilvl w:val="0"/>
          <w:numId w:val="1009"/>
        </w:numPr>
        <w:pStyle w:val="Compact"/>
      </w:pPr>
      <w:r>
        <w:rPr>
          <w:bCs/>
          <w:b/>
        </w:rPr>
        <w:t xml:space="preserve">Patient Retention Rate:</w:t>
      </w:r>
      <w:r>
        <w:t xml:space="preserve"> </w:t>
      </w:r>
      <w:r>
        <w:t xml:space="preserve">Target: 65% within first year through personalized follow-ups</w:t>
      </w:r>
    </w:p>
    <w:p>
      <w:pPr>
        <w:numPr>
          <w:ilvl w:val="0"/>
          <w:numId w:val="1009"/>
        </w:numPr>
        <w:pStyle w:val="Compact"/>
      </w:pPr>
      <w:r>
        <w:rPr>
          <w:bCs/>
          <w:b/>
        </w:rPr>
        <w:t xml:space="preserve">Social Media Sentiment:</w:t>
      </w:r>
      <w:r>
        <w:t xml:space="preserve"> </w:t>
      </w:r>
      <w:r>
        <w:t xml:space="preserve">Track brand mentions in Jakarta-based communities using local hashtags (#JakartaOphthalmology)</w:t>
      </w:r>
    </w:p>
    <w:p>
      <w:pPr>
        <w:numPr>
          <w:ilvl w:val="0"/>
          <w:numId w:val="1009"/>
        </w:numPr>
        <w:pStyle w:val="Compact"/>
      </w:pPr>
      <w:r>
        <w:rPr>
          <w:bCs/>
          <w:b/>
        </w:rPr>
        <w:t xml:space="preserve">Community Impact:</w:t>
      </w:r>
      <w:r>
        <w:t xml:space="preserve"> </w:t>
      </w:r>
      <w:r>
        <w:t xml:space="preserve">Number of school children screened and referred for treatment (target: 5,000 annually)</w:t>
      </w:r>
    </w:p>
    <w:bookmarkEnd w:id="30"/>
    <w:bookmarkStart w:id="31" w:name="conclusion"/>
    <w:p>
      <w:pPr>
        <w:pStyle w:val="Heading2"/>
      </w:pPr>
      <w:r>
        <w:t xml:space="preserve">Conclusion</w:t>
      </w:r>
    </w:p>
    <w:p>
      <w:pPr>
        <w:pStyle w:val="FirstParagraph"/>
      </w:pPr>
      <w:r>
        <w:t xml:space="preserve">This Marketing Plan positions our optometrist practice not merely as a service provider but as an essential healthcare partner within Indonesia Jakarta's community. By embedding cultural intelligence into every marketing touchpoint—from digital content to physical clinic experiences—we create sustainable growth while addressing Jakarta's critical eye care gaps. The plan’s emphasis on measurable community impact (school screenings, corporate wellness) ensures alignment with local healthcare priorities, transforming patient acquisition into long-term brand advocacy. As the first optometrist practice in Indonesia Jakarta to systematically integrate cultural fluency with clinical excellence, we will redefine standards for eye care delivery across the nation's capital.</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Optometrist Practice in Indonesia Jakarta</dc:title>
  <dc:creator/>
  <dc:language>en</dc:language>
  <cp:keywords/>
  <dcterms:created xsi:type="dcterms:W3CDTF">2026-07-21T03:16:57Z</dcterms:created>
  <dcterms:modified xsi:type="dcterms:W3CDTF">2026-07-21T03:16:57Z</dcterms:modified>
</cp:coreProperties>
</file>

<file path=docProps/custom.xml><?xml version="1.0" encoding="utf-8"?>
<Properties xmlns="http://schemas.openxmlformats.org/officeDocument/2006/custom-properties" xmlns:vt="http://schemas.openxmlformats.org/officeDocument/2006/docPropsVTypes"/>
</file>