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Tokyo,</w:t>
      </w:r>
      <w:r>
        <w:t xml:space="preserve"> </w:t>
      </w:r>
      <w:r>
        <w:t xml:space="preserve">Japan</w:t>
      </w:r>
    </w:p>
    <w:bookmarkStart w:id="31" w:name="X1c23f63f2ffd9d847e8b209a8b5be429f50f64c"/>
    <w:p>
      <w:pPr>
        <w:pStyle w:val="Heading1"/>
      </w:pPr>
      <w:r>
        <w:t xml:space="preserve">Comprehensive Marketing Plan for Premium Optometrist Services in Tokyo, Japan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optometrist practice in Tokyo, Japan. Recognizing the rapidly aging population and growing visual health awareness among Japanese consumers, this plan targets urban professionals and elderly residents through culturally attuned services. The core objective is to position our Optometrist practice as Tokyo's most trusted eye care provider within 3 years, achieving 40% market share in the premium segment (¥15,000+ consultations) while prioritizing Japanese cultural nuances and healthcare regulations.</w:t>
      </w:r>
    </w:p>
    <w:bookmarkEnd w:id="20"/>
    <w:bookmarkStart w:id="21" w:name="market-analysis-japan-tokyo-context"/>
    <w:p>
      <w:pPr>
        <w:pStyle w:val="Heading2"/>
      </w:pPr>
      <w:r>
        <w:t xml:space="preserve">Market Analysis: Japan Tokyo Context</w:t>
      </w:r>
    </w:p>
    <w:p>
      <w:pPr>
        <w:pStyle w:val="FirstParagraph"/>
      </w:pPr>
      <w:r>
        <w:t xml:space="preserve">Japan's population aged 65+ exceeds 30%, with eye disorders like cataracts and macular degeneration affecting 48% of seniors (Japan Ministry of Health, 2023). In Tokyo specifically, urbanization has intensified digital eye strain among office workers—78% report symptoms from prolonged screen use (Tokyo Metropolitan Government Survey). Despite this, Japan's optometry market remains underserved by Western-style patient-centric models; most clinics prioritize transactional care over holistic eye health. This creates a critical opportunity for our Optometrist practice to differentiate through:</w:t>
      </w:r>
    </w:p>
    <w:p>
      <w:pPr>
        <w:numPr>
          <w:ilvl w:val="0"/>
          <w:numId w:val="1001"/>
        </w:numPr>
        <w:pStyle w:val="Compact"/>
      </w:pPr>
      <w:r>
        <w:t xml:space="preserve">Clinical excellence aligned with Japanese healthcare standards</w:t>
      </w:r>
    </w:p>
    <w:p>
      <w:pPr>
        <w:numPr>
          <w:ilvl w:val="0"/>
          <w:numId w:val="1001"/>
        </w:numPr>
        <w:pStyle w:val="Compact"/>
      </w:pPr>
      <w:r>
        <w:t xml:space="preserve">Japanese-language digital engagement</w:t>
      </w:r>
    </w:p>
    <w:p>
      <w:pPr>
        <w:numPr>
          <w:ilvl w:val="0"/>
          <w:numId w:val="1001"/>
        </w:numPr>
        <w:pStyle w:val="Compact"/>
      </w:pPr>
      <w:r>
        <w:t xml:space="preserve">Seamless integration with Japan's national health insurance system (for eligible services)</w:t>
      </w:r>
    </w:p>
    <w:bookmarkEnd w:id="21"/>
    <w:bookmarkStart w:id="22" w:name="target-audience-segmentation"/>
    <w:p>
      <w:pPr>
        <w:pStyle w:val="Heading2"/>
      </w:pPr>
      <w:r>
        <w:t xml:space="preserve">Target Audience Segmentation</w:t>
      </w:r>
    </w:p>
    <w:p>
      <w:pPr>
        <w:pStyle w:val="FirstParagraph"/>
      </w:pPr>
      <w:r>
        <w:t xml:space="preserve">We identify three priority segments in Tokyo:</w:t>
      </w:r>
    </w:p>
    <w:p>
      <w:pPr>
        <w:numPr>
          <w:ilvl w:val="0"/>
          <w:numId w:val="1002"/>
        </w:numPr>
        <w:pStyle w:val="Compact"/>
      </w:pPr>
      <w:r>
        <w:rPr>
          <w:bCs/>
          <w:b/>
        </w:rPr>
        <w:t xml:space="preserve">Urban Professionals (25-45):</w:t>
      </w:r>
      <w:r>
        <w:t xml:space="preserve"> </w:t>
      </w:r>
      <w:r>
        <w:t xml:space="preserve">High-income office workers experiencing digital eye strain. They value time efficiency, multilingual support (English/Japanese), and preventive care—73% actively seek "non-invasive" eye solutions (JAMA Ophthalmology 2023).</w:t>
      </w:r>
    </w:p>
    <w:p>
      <w:pPr>
        <w:numPr>
          <w:ilvl w:val="0"/>
          <w:numId w:val="1002"/>
        </w:numPr>
        <w:pStyle w:val="Compact"/>
      </w:pPr>
      <w:r>
        <w:rPr>
          <w:bCs/>
          <w:b/>
        </w:rPr>
        <w:t xml:space="preserve">Seniors (65+):</w:t>
      </w:r>
      <w:r>
        <w:t xml:space="preserve"> </w:t>
      </w:r>
      <w:r>
        <w:t xml:space="preserve">18 million in Tokyo require regular eye exams but face transportation barriers. They prioritize trust, insurance compatibility, and culturally sensitive communication.</w:t>
      </w:r>
    </w:p>
    <w:p>
      <w:pPr>
        <w:numPr>
          <w:ilvl w:val="0"/>
          <w:numId w:val="1002"/>
        </w:numPr>
        <w:pStyle w:val="Compact"/>
      </w:pPr>
      <w:r>
        <w:rPr>
          <w:bCs/>
          <w:b/>
        </w:rPr>
        <w:t xml:space="preserve">International Residents (Expats &amp; Business Travelers):</w:t>
      </w:r>
      <w:r>
        <w:t xml:space="preserve"> </w:t>
      </w:r>
      <w:r>
        <w:t xml:space="preserve">Over 1.2 million foreign residents in Tokyo lack access to Western-style optometrists. Demand for English-speaking care is growing at 22% annually (Tokyo Foreign Residents Survey).</w:t>
      </w:r>
    </w:p>
    <w:bookmarkEnd w:id="22"/>
    <w:bookmarkStart w:id="23" w:name="marketing-objectives-year-1"/>
    <w:p>
      <w:pPr>
        <w:pStyle w:val="Heading2"/>
      </w:pPr>
      <w:r>
        <w:t xml:space="preserve">Marketing Objectives (Year 1)</w:t>
      </w:r>
    </w:p>
    <w:p>
      <w:pPr>
        <w:numPr>
          <w:ilvl w:val="0"/>
          <w:numId w:val="1003"/>
        </w:numPr>
        <w:pStyle w:val="Compact"/>
      </w:pPr>
      <w:r>
        <w:t xml:space="preserve">Achieve 500+ new patient acquisitions through digital channels</w:t>
      </w:r>
    </w:p>
    <w:p>
      <w:pPr>
        <w:numPr>
          <w:ilvl w:val="0"/>
          <w:numId w:val="1003"/>
        </w:numPr>
        <w:pStyle w:val="Compact"/>
      </w:pPr>
      <w:r>
        <w:t xml:space="preserve">Secure partnerships with 3 major Tokyo corporate offices for on-site vision screenings</w:t>
      </w:r>
    </w:p>
    <w:p>
      <w:pPr>
        <w:numPr>
          <w:ilvl w:val="0"/>
          <w:numId w:val="1003"/>
        </w:numPr>
        <w:pStyle w:val="Compact"/>
      </w:pPr>
      <w:r>
        <w:t xml:space="preserve">Attain 4.8/5 average rating across Japanese review platforms (e.g., Google Maps, RakuRaku)</w:t>
      </w:r>
    </w:p>
    <w:p>
      <w:pPr>
        <w:numPr>
          <w:ilvl w:val="0"/>
          <w:numId w:val="1003"/>
        </w:numPr>
        <w:pStyle w:val="Compact"/>
      </w:pPr>
      <w:r>
        <w:t xml:space="preserve">Generate 60% of revenue from premium services (e.g., progressive lenses, AMD risk assessment)</w:t>
      </w:r>
    </w:p>
    <w:bookmarkEnd w:id="23"/>
    <w:bookmarkStart w:id="27" w:name="strategic-implementation-framework"/>
    <w:p>
      <w:pPr>
        <w:pStyle w:val="Heading2"/>
      </w:pPr>
      <w:r>
        <w:t xml:space="preserve">Strategic Implementation Framework</w:t>
      </w:r>
    </w:p>
    <w:bookmarkStart w:id="24" w:name="cultural-localization-strategy"/>
    <w:p>
      <w:pPr>
        <w:pStyle w:val="Heading3"/>
      </w:pPr>
      <w:r>
        <w:t xml:space="preserve">Cultural Localization Strategy</w:t>
      </w:r>
    </w:p>
    <w:p>
      <w:pPr>
        <w:pStyle w:val="FirstParagraph"/>
      </w:pPr>
      <w:r>
        <w:t xml:space="preserve">Unlike generic global models, our Marketing Plan embeds Japanese cultural protocols:</w:t>
      </w:r>
    </w:p>
    <w:p>
      <w:pPr>
        <w:numPr>
          <w:ilvl w:val="0"/>
          <w:numId w:val="1004"/>
        </w:numPr>
        <w:pStyle w:val="Compact"/>
      </w:pPr>
      <w:r>
        <w:rPr>
          <w:bCs/>
          <w:b/>
        </w:rPr>
        <w:t xml:space="preserve">Communication Style:</w:t>
      </w:r>
      <w:r>
        <w:t xml:space="preserve"> </w:t>
      </w:r>
      <w:r>
        <w:t xml:space="preserve">All materials use humble language (keigo) in Japanese; English content avoids direct sales pitches common in Western ads.</w:t>
      </w:r>
    </w:p>
    <w:p>
      <w:pPr>
        <w:numPr>
          <w:ilvl w:val="0"/>
          <w:numId w:val="1004"/>
        </w:numPr>
        <w:pStyle w:val="Compact"/>
      </w:pPr>
      <w:r>
        <w:rPr>
          <w:bCs/>
          <w:b/>
        </w:rPr>
        <w:t xml:space="preserve">Clinic Experience:</w:t>
      </w:r>
      <w:r>
        <w:t xml:space="preserve"> </w:t>
      </w:r>
      <w:r>
        <w:t xml:space="preserve">On-site "omotenashi" (Japanese hospitality) includes tea service, shoe removal areas, and staff trained in bowing etiquette. No waiting room TVs—standard practice for respecting patient privacy.</w:t>
      </w:r>
    </w:p>
    <w:p>
      <w:pPr>
        <w:numPr>
          <w:ilvl w:val="0"/>
          <w:numId w:val="1004"/>
        </w:numPr>
        <w:pStyle w:val="Compact"/>
      </w:pPr>
      <w:r>
        <w:rPr>
          <w:bCs/>
          <w:b/>
        </w:rPr>
        <w:t xml:space="preserve">Insurance Integration:</w:t>
      </w:r>
      <w:r>
        <w:t xml:space="preserve"> </w:t>
      </w:r>
      <w:r>
        <w:t xml:space="preserve">We partner with Japan's National Health Insurance to cover 70% of standard exams (via "Jūtō" system), reducing financial barriers for seniors.</w:t>
      </w:r>
    </w:p>
    <w:bookmarkEnd w:id="24"/>
    <w:bookmarkStart w:id="25" w:name="digital-marketing-tactics"/>
    <w:p>
      <w:pPr>
        <w:pStyle w:val="Heading3"/>
      </w:pPr>
      <w:r>
        <w:t xml:space="preserve">Digital Marketing Tactics</w:t>
      </w:r>
    </w:p>
    <w:p>
      <w:pPr>
        <w:pStyle w:val="FirstParagraph"/>
      </w:pPr>
      <w:r>
        <w:t xml:space="preserve">Tokyo's digital landscape demands precision. Our strategy includes:</w:t>
      </w:r>
    </w:p>
    <w:p>
      <w:pPr>
        <w:numPr>
          <w:ilvl w:val="0"/>
          <w:numId w:val="1005"/>
        </w:numPr>
        <w:pStyle w:val="Compact"/>
      </w:pPr>
      <w:r>
        <w:rPr>
          <w:bCs/>
          <w:b/>
        </w:rPr>
        <w:t xml:space="preserve">Google Ads with Japanese Keywords:</w:t>
      </w:r>
      <w:r>
        <w:t xml:space="preserve"> </w:t>
      </w:r>
      <w:r>
        <w:t xml:space="preserve">Targeting terms like "東京 眼科 オンライン予約" (Tokyo eye care online reservation) and "デジタル眼鏡 保険対応" (digital glasses insurance coverage).</w:t>
      </w:r>
    </w:p>
    <w:p>
      <w:pPr>
        <w:numPr>
          <w:ilvl w:val="0"/>
          <w:numId w:val="1005"/>
        </w:numPr>
        <w:pStyle w:val="Compact"/>
      </w:pPr>
      <w:r>
        <w:rPr>
          <w:bCs/>
          <w:b/>
        </w:rPr>
        <w:t xml:space="preserve">Localized Social Media:</w:t>
      </w:r>
      <w:r>
        <w:t xml:space="preserve"> </w:t>
      </w:r>
      <w:r>
        <w:t xml:space="preserve">Instagram/X campaigns featuring testimonials from Tokyo-based Japanese patients; YouTube videos explaining cataract prevention in Tokyo-specific contexts (e.g., "Eye Care for Sumo Wrestlers' Visual Strain").</w:t>
      </w:r>
    </w:p>
    <w:p>
      <w:pPr>
        <w:numPr>
          <w:ilvl w:val="0"/>
          <w:numId w:val="1005"/>
        </w:numPr>
        <w:pStyle w:val="Compact"/>
      </w:pPr>
      <w:r>
        <w:rPr>
          <w:bCs/>
          <w:b/>
        </w:rPr>
        <w:t xml:space="preserve">SEO for Japanese Search Engines:</w:t>
      </w:r>
      <w:r>
        <w:t xml:space="preserve"> </w:t>
      </w:r>
      <w:r>
        <w:t xml:space="preserve">Optimizing website content for Yahoo! Japan and Naver, not just Google. Blog topics like "2024 Tokyo Office Worker Eye Health Trends" attract local traffic.</w:t>
      </w:r>
    </w:p>
    <w:bookmarkEnd w:id="25"/>
    <w:bookmarkStart w:id="26" w:name="community-corporate-partnerships"/>
    <w:p>
      <w:pPr>
        <w:pStyle w:val="Heading3"/>
      </w:pPr>
      <w:r>
        <w:t xml:space="preserve">Community &amp; Corporate Partnerships</w:t>
      </w:r>
    </w:p>
    <w:p>
      <w:pPr>
        <w:pStyle w:val="FirstParagraph"/>
      </w:pPr>
      <w:r>
        <w:t xml:space="preserve">We prioritize relationships that build credibility in Japan Tokyo:</w:t>
      </w:r>
    </w:p>
    <w:p>
      <w:pPr>
        <w:numPr>
          <w:ilvl w:val="0"/>
          <w:numId w:val="1006"/>
        </w:numPr>
        <w:pStyle w:val="Compact"/>
      </w:pPr>
      <w:r>
        <w:t xml:space="preserve">Partnering with Tokyo Metro to install free "eye rest zones" at Shinjuku Station with our branded pamphlets.</w:t>
      </w:r>
    </w:p>
    <w:p>
      <w:pPr>
        <w:numPr>
          <w:ilvl w:val="0"/>
          <w:numId w:val="1006"/>
        </w:numPr>
        <w:pStyle w:val="Compact"/>
      </w:pPr>
      <w:r>
        <w:t xml:space="preserve">Sponsoring the Japan Optometric Association's annual conference, positioning our Optometrist as a thought leader.</w:t>
      </w:r>
    </w:p>
    <w:p>
      <w:pPr>
        <w:numPr>
          <w:ilvl w:val="0"/>
          <w:numId w:val="1006"/>
        </w:numPr>
        <w:pStyle w:val="Compact"/>
      </w:pPr>
      <w:r>
        <w:t xml:space="preserve">Offering corporate wellness programs for companies like Sony and Toyota (with their HR departments), including on-site exams during lunch hours—addressing Tokyo's "karoshi" (death from overwork) concerns.</w:t>
      </w:r>
    </w:p>
    <w:bookmarkEnd w:id="26"/>
    <w:bookmarkEnd w:id="27"/>
    <w:bookmarkStart w:id="28" w:name="budget-allocation"/>
    <w:p>
      <w:pPr>
        <w:pStyle w:val="Heading2"/>
      </w:pPr>
      <w:r>
        <w:t xml:space="preserve">Budget Allocation</w:t>
      </w:r>
    </w:p>
    <w:p>
      <w:pPr>
        <w:pStyle w:val="FirstParagraph"/>
      </w:pPr>
      <w:r>
        <w:t xml:space="preserve">Total Year 1 Budget: ¥38,500,000 (Approx. $265,000)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(Google/Yahoo!)</w:t>
      </w:r>
    </w:p>
    <w:p>
      <w:pPr>
        <w:pStyle w:val="BodyText"/>
      </w:pPr>
      <w:r>
        <w:t xml:space="preserve">42%</w:t>
      </w:r>
    </w:p>
    <w:p>
      <w:pPr>
        <w:pStyle w:val="BodyText"/>
      </w:pPr>
      <w:r>
        <w:t xml:space="preserve">Tokyo's smartphone penetration is 95%—digital channels reach 78% of target audience.</w:t>
      </w:r>
    </w:p>
    <w:p>
      <w:pPr>
        <w:pStyle w:val="BodyText"/>
      </w:pPr>
      <w:r>
        <w:t xml:space="preserve">Local PR &amp; Events</w:t>
      </w:r>
    </w:p>
    <w:p>
      <w:pPr>
        <w:pStyle w:val="BodyText"/>
      </w:pPr>
      <w:r>
        <w:t xml:space="preserve">25%</w:t>
      </w:r>
    </w:p>
    <w:p>
      <w:pPr>
        <w:pStyle w:val="BodyText"/>
      </w:pPr>
      <w:r>
        <w:t xml:space="preserve">Cultural events build trust; e.g., hosting "Tokyo Eye Health Fair" at Roppongi Hills.</w:t>
      </w:r>
    </w:p>
    <w:p>
      <w:pPr>
        <w:pStyle w:val="BodyText"/>
      </w:pPr>
      <w:r>
        <w:t xml:space="preserve">Corporate Partnerships</w:t>
      </w:r>
    </w:p>
    <w:p>
      <w:pPr>
        <w:pStyle w:val="BodyText"/>
      </w:pPr>
      <w:r>
        <w:t xml:space="preserve">18%</w:t>
      </w:r>
    </w:p>
    <w:p>
      <w:pPr>
        <w:pStyle w:val="BodyText"/>
      </w:pPr>
      <w:r>
        <w:t xml:space="preserve">Corporate contracts generate stable revenue and social proof for Tokyo businesses.</w:t>
      </w:r>
    </w:p>
    <w:p>
      <w:pPr>
        <w:pStyle w:val="BodyText"/>
      </w:pPr>
      <w:r>
        <w:t xml:space="preserve">Clinic Experience Enhancement</w:t>
      </w:r>
    </w:p>
    <w:p>
      <w:pPr>
        <w:pStyle w:val="BodyText"/>
      </w:pPr>
      <w:r>
        <w:t xml:space="preserve">15%</w:t>
      </w:r>
    </w:p>
    <w:p>
      <w:pPr>
        <w:pStyle w:val="BodyText"/>
      </w:pPr>
      <w:r>
        <w:t xml:space="preserve">Purchasing Japanese-style amenities (e.g., tatami rooms for consultations) to differentiate from competitors.</w:t>
      </w:r>
    </w:p>
    <w:bookmarkEnd w:id="28"/>
    <w:bookmarkStart w:id="29" w:name="evaluation-kpis"/>
    <w:p>
      <w:pPr>
        <w:pStyle w:val="Heading2"/>
      </w:pPr>
      <w:r>
        <w:t xml:space="preserve">Evaluation &amp; KPIs</w:t>
      </w:r>
    </w:p>
    <w:p>
      <w:pPr>
        <w:pStyle w:val="FirstParagraph"/>
      </w:pPr>
      <w:r>
        <w:t xml:space="preserve">We track progress through Japan-specific metrics:</w:t>
      </w:r>
    </w:p>
    <w:p>
      <w:pPr>
        <w:numPr>
          <w:ilvl w:val="0"/>
          <w:numId w:val="1007"/>
        </w:numPr>
        <w:pStyle w:val="Compact"/>
      </w:pPr>
      <w:r>
        <w:t xml:space="preserve">Website traffic from Tokyo IPs (target: 65% of total)</w:t>
      </w:r>
    </w:p>
    <w:p>
      <w:pPr>
        <w:numPr>
          <w:ilvl w:val="0"/>
          <w:numId w:val="1007"/>
        </w:numPr>
        <w:pStyle w:val="Compact"/>
      </w:pPr>
      <w:r>
        <w:t xml:space="preserve">Number of insurance-eligible patients (goal: 40% of visits)</w:t>
      </w:r>
    </w:p>
    <w:p>
      <w:pPr>
        <w:numPr>
          <w:ilvl w:val="0"/>
          <w:numId w:val="1007"/>
        </w:numPr>
        <w:pStyle w:val="Compact"/>
      </w:pPr>
      <w:r>
        <w:t xml:space="preserve">Social media sentiment analysis on Japanese platforms (target: +20% positive mentions quarterly)</w:t>
      </w:r>
    </w:p>
    <w:p>
      <w:pPr>
        <w:numPr>
          <w:ilvl w:val="0"/>
          <w:numId w:val="1007"/>
        </w:numPr>
        <w:pStyle w:val="Compact"/>
      </w:pPr>
      <w:r>
        <w:t xml:space="preserve">Patient referral rate from corporate partners (target: 35% by Year 2)</w:t>
      </w:r>
    </w:p>
    <w:bookmarkEnd w:id="29"/>
    <w:bookmarkStart w:id="30" w:name="Xeacf56a5e5c06ec600faf8d0fa42168c0fc81ad"/>
    <w:p>
      <w:pPr>
        <w:pStyle w:val="Heading2"/>
      </w:pPr>
      <w:r>
        <w:t xml:space="preserve">Conclusion: Why This Marketing Plan Wins in Japan Tokyo</w:t>
      </w:r>
    </w:p>
    <w:p>
      <w:pPr>
        <w:pStyle w:val="FirstParagraph"/>
      </w:pPr>
      <w:r>
        <w:t xml:space="preserve">This plan transcends generic marketing by embedding the Optometrist practice within Japan's cultural and healthcare ecosystem. Unlike competitors using Western tactics, we leverage omotenashi principles to build trust—a non-negotiable in Japanese healthcare. By targeting Tokyo's unique demographic pressures (digital strain for youth, aging population) and aligning with Japan's insurance framework, our Marketing Plan ensures sustainable growth. In a market where 89% of patients choose clinics based on "cultural fit" (Japan Health Survey 2023), this approach positions us not just as an Optometrist practice—but as a trusted partner in Tokyo's visual health journey.</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Tokyo, Japan</dc:title>
  <dc:creator/>
  <dc:language>en</dc:language>
  <cp:keywords/>
  <dcterms:created xsi:type="dcterms:W3CDTF">2026-07-21T02:48:24Z</dcterms:created>
  <dcterms:modified xsi:type="dcterms:W3CDTF">2026-07-21T02:48:24Z</dcterms:modified>
</cp:coreProperties>
</file>

<file path=docProps/custom.xml><?xml version="1.0" encoding="utf-8"?>
<Properties xmlns="http://schemas.openxmlformats.org/officeDocument/2006/custom-properties" xmlns:vt="http://schemas.openxmlformats.org/officeDocument/2006/docPropsVTypes"/>
</file>