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Kuwait</w:t>
      </w:r>
      <w:r>
        <w:t xml:space="preserve"> </w:t>
      </w:r>
      <w:r>
        <w:t xml:space="preserve">City</w:t>
      </w:r>
    </w:p>
    <w:bookmarkStart w:id="32" w:name="X99b282bee5d5730dc29d8f971c8420a145d2bb7"/>
    <w:p>
      <w:pPr>
        <w:pStyle w:val="Heading1"/>
      </w:pPr>
      <w:r>
        <w:t xml:space="preserve">Comprehensive Marketing Plan for Premium Optometrist Services in Kuwait City, Kuwait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within Kuwait City, Kuwait. Recognizing the unique healthcare landscape of the Gulf region, this plan addresses critical gaps in eye care accessibility and quality service. By leveraging cultural insights, digital trends specific to Kuwaiti consumers, and community engagement strategies tailored to Kuwait City's demographics, our optometrist practice will position itself as the leading provider of comprehensive eye care services. The initiative targets both expatriate communities and local Kuwaiti families seeking advanced vision solutions in a culturally sensitive environment.</w:t>
      </w:r>
    </w:p>
    <w:bookmarkEnd w:id="20"/>
    <w:bookmarkStart w:id="21" w:name="X7981ea389c0afdba8b8380369235ff1320e7170"/>
    <w:p>
      <w:pPr>
        <w:pStyle w:val="Heading2"/>
      </w:pPr>
      <w:r>
        <w:t xml:space="preserve">Market Analysis: Optometry Landscape in Kuwait City</w:t>
      </w:r>
    </w:p>
    <w:p>
      <w:pPr>
        <w:pStyle w:val="FirstParagraph"/>
      </w:pPr>
      <w:r>
        <w:t xml:space="preserve">Kuwait City presents a dynamic market with growing demand for specialized optometric services. Recent studies indicate that 65% of Kuwaiti residents experience vision problems, yet only 40% access regular eye examinations due to limited awareness and service availability. The competitive landscape includes multinational clinics and private practices, but few offer integrated cultural competence combined with cutting-edge technology. Crucially, the Kuwaiti government’s Vision 2035 initiative emphasizes healthcare modernization, creating favorable conditions for premium optometry services. Key trends include rising diabetes rates (affecting 17% of adults) increasing diabetic retinopathy cases, and heightened digital device usage among youth causing digital eye strain—a significant opportunity for our optometrist practice.</w:t>
      </w:r>
    </w:p>
    <w:bookmarkEnd w:id="21"/>
    <w:bookmarkStart w:id="22" w:name="target-market-segmentation"/>
    <w:p>
      <w:pPr>
        <w:pStyle w:val="Heading2"/>
      </w:pPr>
      <w:r>
        <w:t xml:space="preserve">Target Market Segmentation</w:t>
      </w:r>
    </w:p>
    <w:p>
      <w:pPr>
        <w:pStyle w:val="FirstParagraph"/>
      </w:pPr>
      <w:r>
        <w:t xml:space="preserve">We focus on three high-potential segments within Kuwait City:</w:t>
      </w:r>
    </w:p>
    <w:p>
      <w:pPr>
        <w:numPr>
          <w:ilvl w:val="0"/>
          <w:numId w:val="1001"/>
        </w:numPr>
        <w:pStyle w:val="Compact"/>
      </w:pPr>
      <w:r>
        <w:rPr>
          <w:bCs/>
          <w:b/>
        </w:rPr>
        <w:t xml:space="preserve">Kuwaiti Families:</w:t>
      </w:r>
      <w:r>
        <w:t xml:space="preserve"> </w:t>
      </w:r>
      <w:r>
        <w:t xml:space="preserve">Primary market requiring pediatric eye exams, myopia management for children, and family vision screenings. Cultural preference for holistic health services aligns with our comprehensive approach.</w:t>
      </w:r>
    </w:p>
    <w:p>
      <w:pPr>
        <w:numPr>
          <w:ilvl w:val="0"/>
          <w:numId w:val="1001"/>
        </w:numPr>
        <w:pStyle w:val="Compact"/>
      </w:pPr>
      <w:r>
        <w:rPr>
          <w:bCs/>
          <w:b/>
        </w:rPr>
        <w:t xml:space="preserve">Expatriate Professionals:</w:t>
      </w:r>
      <w:r>
        <w:t xml:space="preserve"> </w:t>
      </w:r>
      <w:r>
        <w:t xml:space="preserve">70% of Kuwait’s workforce comprises expats who value English-speaking optometrists and efficient clinic experiences. This group prioritizes convenience (e.g., after-hours appointments) and premium diagnostics.</w:t>
      </w:r>
    </w:p>
    <w:p>
      <w:pPr>
        <w:numPr>
          <w:ilvl w:val="0"/>
          <w:numId w:val="1001"/>
        </w:numPr>
        <w:pStyle w:val="Compact"/>
      </w:pPr>
      <w:r>
        <w:rPr>
          <w:bCs/>
          <w:b/>
        </w:rPr>
        <w:t xml:space="preserve">Senior Citizens:</w:t>
      </w:r>
      <w:r>
        <w:t xml:space="preserve"> </w:t>
      </w:r>
      <w:r>
        <w:t xml:space="preserve">Growing demographic with age-related eye conditions requiring specialized care. Emphasis on trust-building through community health partnerships is critical.</w:t>
      </w:r>
    </w:p>
    <w:bookmarkEnd w:id="22"/>
    <w:bookmarkStart w:id="23" w:name="marketing-objectives-12-month-timeline"/>
    <w:p>
      <w:pPr>
        <w:pStyle w:val="Heading2"/>
      </w:pPr>
      <w:r>
        <w:t xml:space="preserve">Marketing Objectives (12-Month Timeline)</w:t>
      </w:r>
    </w:p>
    <w:p>
      <w:pPr>
        <w:pStyle w:val="FirstParagraph"/>
      </w:pPr>
      <w:r>
        <w:t xml:space="preserve">1. Achieve 75% brand recognition among target households in Kuwait City within 9 months.</w:t>
      </w:r>
      <w:r>
        <w:br/>
      </w:r>
      <w:r>
        <w:t xml:space="preserve">2. Secure 300 new patient appointments monthly by Month 6 through targeted channels.</w:t>
      </w:r>
      <w:r>
        <w:br/>
      </w:r>
      <w:r>
        <w:t xml:space="preserve">3. Establish partnerships with at least 15 local organizations (schools, corporate offices, mosques) for community outreach.</w:t>
      </w:r>
      <w:r>
        <w:br/>
      </w:r>
      <w:r>
        <w:t xml:space="preserve">4. Attain a patient retention rate of ≥85% through personalized engagement.</w:t>
      </w:r>
    </w:p>
    <w:bookmarkEnd w:id="23"/>
    <w:bookmarkStart w:id="27" w:name="strategic-marketing-framework"/>
    <w:p>
      <w:pPr>
        <w:pStyle w:val="Heading2"/>
      </w:pPr>
      <w:r>
        <w:t xml:space="preserve">Strategic Marketing Framework</w:t>
      </w:r>
    </w:p>
    <w:p>
      <w:pPr>
        <w:pStyle w:val="FirstParagraph"/>
      </w:pPr>
      <w:r>
        <w:t xml:space="preserve">Our strategy integrates digital innovation with Kuwaiti cultural context to differentiate the optometrist practice:</w:t>
      </w:r>
    </w:p>
    <w:bookmarkStart w:id="24" w:name="digital-first-patient-acquisition"/>
    <w:p>
      <w:pPr>
        <w:pStyle w:val="Heading3"/>
      </w:pPr>
      <w:r>
        <w:t xml:space="preserve">1. Digital-First Patient Acquisition</w:t>
      </w:r>
    </w:p>
    <w:p>
      <w:pPr>
        <w:pStyle w:val="FirstParagraph"/>
      </w:pPr>
      <w:r>
        <w:t xml:space="preserve">Kuwait City has 94% smartphone penetration and heavy social media usage (particularly Instagram and WhatsApp). We will implement:</w:t>
      </w:r>
    </w:p>
    <w:p>
      <w:pPr>
        <w:numPr>
          <w:ilvl w:val="0"/>
          <w:numId w:val="1002"/>
        </w:numPr>
        <w:pStyle w:val="Compact"/>
      </w:pPr>
      <w:r>
        <w:rPr>
          <w:bCs/>
          <w:b/>
        </w:rPr>
        <w:t xml:space="preserve">Localized Social Media Campaigns:</w:t>
      </w:r>
      <w:r>
        <w:t xml:space="preserve"> </w:t>
      </w:r>
      <w:r>
        <w:t xml:space="preserve">Arabic/English content showcasing patient testimonials from Kuwaiti families, emphasizing trust and cultural understanding.</w:t>
      </w:r>
    </w:p>
    <w:p>
      <w:pPr>
        <w:numPr>
          <w:ilvl w:val="0"/>
          <w:numId w:val="1002"/>
        </w:numPr>
        <w:pStyle w:val="Compact"/>
      </w:pPr>
      <w:r>
        <w:rPr>
          <w:bCs/>
          <w:b/>
        </w:rPr>
        <w:t xml:space="preserve">Tech-Enhanced Website:</w:t>
      </w:r>
      <w:r>
        <w:t xml:space="preserve"> </w:t>
      </w:r>
      <w:r>
        <w:t xml:space="preserve">Mobile-optimized site with integrated telehealth consultations (for initial screenings) and an online booking system available 24/7. All content will include Kuwait-specific health information (e.g., "UV Protection Tips for Kuwaiti Summer").</w:t>
      </w:r>
    </w:p>
    <w:p>
      <w:pPr>
        <w:numPr>
          <w:ilvl w:val="0"/>
          <w:numId w:val="1002"/>
        </w:numPr>
        <w:pStyle w:val="Compact"/>
      </w:pPr>
      <w:r>
        <w:rPr>
          <w:bCs/>
          <w:b/>
        </w:rPr>
        <w:t xml:space="preserve">Google Ads Targeting:</w:t>
      </w:r>
      <w:r>
        <w:t xml:space="preserve"> </w:t>
      </w:r>
      <w:r>
        <w:t xml:space="preserve">Geo-fenced campaigns around high-density residential areas (Salmiya, Hawally) and corporate zones using keywords like "optometrist in Kuwait City" and "eye checkup near me."</w:t>
      </w:r>
    </w:p>
    <w:bookmarkEnd w:id="24"/>
    <w:bookmarkStart w:id="25" w:name="community-integration-trust-building"/>
    <w:p>
      <w:pPr>
        <w:pStyle w:val="Heading3"/>
      </w:pPr>
      <w:r>
        <w:t xml:space="preserve">2. Community Integration &amp; Trust Building</w:t>
      </w:r>
    </w:p>
    <w:p>
      <w:pPr>
        <w:pStyle w:val="FirstParagraph"/>
      </w:pPr>
      <w:r>
        <w:t xml:space="preserve">Trust is paramount in Kuwaiti healthcare. Our optometrist practice will:</w:t>
      </w:r>
    </w:p>
    <w:p>
      <w:pPr>
        <w:numPr>
          <w:ilvl w:val="0"/>
          <w:numId w:val="1003"/>
        </w:numPr>
        <w:pStyle w:val="Compact"/>
      </w:pPr>
      <w:r>
        <w:rPr>
          <w:bCs/>
          <w:b/>
        </w:rPr>
        <w:t xml:space="preserve">Host Free Vision Health Camps:</w:t>
      </w:r>
      <w:r>
        <w:t xml:space="preserve"> </w:t>
      </w:r>
      <w:r>
        <w:t xml:space="preserve">Partner with local mosques and schools for monthly free screenings (e.g., "Vision Care for Ramadan Community")—aligning with cultural events to drive attendance.</w:t>
      </w:r>
    </w:p>
    <w:p>
      <w:pPr>
        <w:numPr>
          <w:ilvl w:val="0"/>
          <w:numId w:val="1003"/>
        </w:numPr>
        <w:pStyle w:val="Compact"/>
      </w:pPr>
      <w:r>
        <w:rPr>
          <w:bCs/>
          <w:b/>
        </w:rPr>
        <w:t xml:space="preserve">Corporate Wellness Partnerships:</w:t>
      </w:r>
      <w:r>
        <w:t xml:space="preserve"> </w:t>
      </w:r>
      <w:r>
        <w:t xml:space="preserve">Offer tailored eye health programs to major Kuwait City employers (e.g., banks, oil companies), including discounted group exams and ergonomics consultations.</w:t>
      </w:r>
    </w:p>
    <w:p>
      <w:pPr>
        <w:numPr>
          <w:ilvl w:val="0"/>
          <w:numId w:val="1003"/>
        </w:numPr>
        <w:pStyle w:val="Compact"/>
      </w:pPr>
      <w:r>
        <w:rPr>
          <w:bCs/>
          <w:b/>
        </w:rPr>
        <w:t xml:space="preserve">Kuwaiti Healthcare Collaborations:</w:t>
      </w:r>
      <w:r>
        <w:t xml:space="preserve"> </w:t>
      </w:r>
      <w:r>
        <w:t xml:space="preserve">Forge referrals with prominent hospitals (e.g., Al-Amiri Hospital) and ophthalmologists for seamless patient care pathways.</w:t>
      </w:r>
    </w:p>
    <w:bookmarkEnd w:id="25"/>
    <w:bookmarkStart w:id="26" w:name="premium-service-differentiation"/>
    <w:p>
      <w:pPr>
        <w:pStyle w:val="Heading3"/>
      </w:pPr>
      <w:r>
        <w:t xml:space="preserve">3. Premium Service Differentiation</w:t>
      </w:r>
    </w:p>
    <w:p>
      <w:pPr>
        <w:pStyle w:val="FirstParagraph"/>
      </w:pPr>
      <w:r>
        <w:t xml:space="preserve">To justify premium positioning, we emphasize:</w:t>
      </w:r>
    </w:p>
    <w:p>
      <w:pPr>
        <w:numPr>
          <w:ilvl w:val="0"/>
          <w:numId w:val="1004"/>
        </w:numPr>
        <w:pStyle w:val="Compact"/>
      </w:pPr>
      <w:r>
        <w:rPr>
          <w:bCs/>
          <w:b/>
        </w:rPr>
        <w:t xml:space="preserve">Technology Investment:</w:t>
      </w:r>
      <w:r>
        <w:t xml:space="preserve"> </w:t>
      </w:r>
      <w:r>
        <w:t xml:space="preserve">State-of-the-art equipment (e.g., OCT scans, digital retinal imaging) unavailable at most clinics—demonstrated via clinic videos on social media.</w:t>
      </w:r>
    </w:p>
    <w:p>
      <w:pPr>
        <w:numPr>
          <w:ilvl w:val="0"/>
          <w:numId w:val="1004"/>
        </w:numPr>
        <w:pStyle w:val="Compact"/>
      </w:pPr>
      <w:r>
        <w:rPr>
          <w:bCs/>
          <w:b/>
        </w:rPr>
        <w:t xml:space="preserve">Cultural Proficiency:</w:t>
      </w:r>
      <w:r>
        <w:t xml:space="preserve"> </w:t>
      </w:r>
      <w:r>
        <w:t xml:space="preserve">All staff trained in Kuwaiti healthcare customs and Arabic language basics. Female optometrists available for female patients per cultural preference.</w:t>
      </w:r>
    </w:p>
    <w:p>
      <w:pPr>
        <w:numPr>
          <w:ilvl w:val="0"/>
          <w:numId w:val="1004"/>
        </w:numPr>
        <w:pStyle w:val="Compact"/>
      </w:pPr>
      <w:r>
        <w:rPr>
          <w:bCs/>
          <w:b/>
        </w:rPr>
        <w:t xml:space="preserve">Loyalty Program:</w:t>
      </w:r>
      <w:r>
        <w:t xml:space="preserve"> </w:t>
      </w:r>
      <w:r>
        <w:t xml:space="preserve">"Sight Savings Circle" offering points for referrals, annual exams, and family memberships—redeemable for discounts on premium eyewear brands popular in Kuwait City (e.g., Ray-Ban, Oakley).</w:t>
      </w:r>
    </w:p>
    <w:bookmarkEnd w:id="26"/>
    <w:bookmarkEnd w:id="27"/>
    <w:bookmarkStart w:id="28" w:name="budget-allocation"/>
    <w:p>
      <w:pPr>
        <w:pStyle w:val="Heading2"/>
      </w:pPr>
      <w:r>
        <w:t xml:space="preserve">Budget Allocation</w:t>
      </w:r>
    </w:p>
    <w:p>
      <w:pPr>
        <w:pStyle w:val="FirstParagraph"/>
      </w:pPr>
      <w:r>
        <w:t xml:space="preserve">Initial 12-month budget: $48,500 USD</w:t>
      </w:r>
      <w:r>
        <w:br/>
      </w:r>
      <w:r>
        <w:rPr>
          <w:bCs/>
          <w:b/>
        </w:rPr>
        <w:t xml:space="preserve">Distribution:</w:t>
      </w:r>
      <w:r>
        <w:t xml:space="preserve"> </w:t>
      </w:r>
      <w:r>
        <w:t xml:space="preserve">Digital Advertising (45%), Community Events (30%), Content Creation (15%), Partnership Development (10%).</w:t>
      </w:r>
      <w:r>
        <w:br/>
      </w:r>
      <w:r>
        <w:t xml:space="preserve">*Note: 60% of digital spend targets mobile platforms used by Kuwaiti demographics, with 70% of content in Arabic to ensure cultural resonance.</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Months 1-2</w:t>
      </w:r>
    </w:p>
    <w:p>
      <w:pPr>
        <w:pStyle w:val="BodyText"/>
      </w:pPr>
      <w:r>
        <w:t xml:space="preserve">Clinic branding, staff training, website launch with Arabic/English toggle.</w:t>
      </w:r>
    </w:p>
    <w:p>
      <w:pPr>
        <w:pStyle w:val="BodyText"/>
      </w:pPr>
      <w:r>
        <w:t xml:space="preserve">Growth Launch</w:t>
      </w:r>
    </w:p>
    <w:p>
      <w:pPr>
        <w:pStyle w:val="BodyText"/>
      </w:pPr>
      <w:r>
        <w:t xml:space="preserve">Months 3-5</w:t>
      </w:r>
    </w:p>
    <w:p>
      <w:pPr>
        <w:pStyle w:val="BodyText"/>
      </w:pPr>
      <w:r>
        <w:t xml:space="preserve">Begin social media campaigns; initiate mosque/school partnerships; corporate outreach starts.</w:t>
      </w:r>
    </w:p>
    <w:p>
      <w:pPr>
        <w:pStyle w:val="BodyText"/>
      </w:pPr>
      <w:r>
        <w:t xml:space="preserve">Expansion</w:t>
      </w:r>
    </w:p>
    <w:p>
      <w:pPr>
        <w:pStyle w:val="BodyText"/>
      </w:pPr>
      <w:r>
        <w:t xml:space="preserve">Months 6-9</w:t>
      </w:r>
    </w:p>
    <w:p>
      <w:pPr>
        <w:pStyle w:val="BodyText"/>
      </w:pPr>
      <w:r>
        <w:t xml:space="preserve">Evaluation &amp; Refinement</w:t>
      </w:r>
    </w:p>
    <w:p>
      <w:pPr>
        <w:pStyle w:val="BodyText"/>
      </w:pPr>
      <w:r>
        <w:t xml:space="preserve">Month 12+</w:t>
      </w:r>
    </w:p>
    <w:p>
      <w:pPr>
        <w:pStyle w:val="BodyText"/>
      </w:pPr>
      <w:r>
        <w:t xml:space="preserve">Analyze patient acquisition costs, retention metrics; adjust campaigns based on Kuwait City market response.</w:t>
      </w:r>
    </w:p>
    <w:bookmarkEnd w:id="29"/>
    <w:bookmarkStart w:id="30" w:name="evaluation-metrics-for-success"/>
    <w:p>
      <w:pPr>
        <w:pStyle w:val="Heading2"/>
      </w:pPr>
      <w:r>
        <w:t xml:space="preserve">Evaluation Metrics for Success</w:t>
      </w:r>
    </w:p>
    <w:p>
      <w:pPr>
        <w:pStyle w:val="FirstParagraph"/>
      </w:pPr>
      <w:r>
        <w:t xml:space="preserve">We will track KPIs aligned with Kuwaiti market dynamics:</w:t>
      </w:r>
    </w:p>
    <w:p>
      <w:pPr>
        <w:numPr>
          <w:ilvl w:val="0"/>
          <w:numId w:val="1005"/>
        </w:numPr>
        <w:pStyle w:val="Compact"/>
      </w:pPr>
      <w:r>
        <w:t xml:space="preserve">Monthly New Patients (Target: 300 by Month 6)</w:t>
      </w:r>
    </w:p>
    <w:p>
      <w:pPr>
        <w:numPr>
          <w:ilvl w:val="0"/>
          <w:numId w:val="1005"/>
        </w:numPr>
        <w:pStyle w:val="Compact"/>
      </w:pPr>
      <w:r>
        <w:t xml:space="preserve">Social Media Engagement Rate (Target: 12% in Kuwait City audience)</w:t>
      </w:r>
    </w:p>
    <w:p>
      <w:pPr>
        <w:numPr>
          <w:ilvl w:val="0"/>
          <w:numId w:val="1005"/>
        </w:numPr>
        <w:pStyle w:val="Compact"/>
      </w:pPr>
      <w:r>
        <w:t xml:space="preserve">Patient Retention Rate (Target: ≥85%)</w:t>
      </w:r>
    </w:p>
    <w:p>
      <w:pPr>
        <w:numPr>
          <w:ilvl w:val="0"/>
          <w:numId w:val="1005"/>
        </w:numPr>
        <w:pStyle w:val="Compact"/>
      </w:pPr>
      <w:r>
        <w:t xml:space="preserve">Community Event Attendance (e.g., 200+ at Ramadan vision camp)</w:t>
      </w:r>
    </w:p>
    <w:bookmarkEnd w:id="30"/>
    <w:bookmarkStart w:id="31" w:name="Xf5c7bbf63e90773f9d21d56debdcee5589fd31c"/>
    <w:p>
      <w:pPr>
        <w:pStyle w:val="Heading2"/>
      </w:pPr>
      <w:r>
        <w:t xml:space="preserve">Conclusion: Driving Vision for Kuwait City</w:t>
      </w:r>
    </w:p>
    <w:p>
      <w:pPr>
        <w:pStyle w:val="FirstParagraph"/>
      </w:pPr>
      <w:r>
        <w:t xml:space="preserve">This Marketing Plan positions our optometrist practice as the indispensable partner for eye health in Kuwait City. By marrying advanced optometric technology with culturally intelligent engagement—addressing both the practical needs of residents and the nuanced expectations of Kuwaiti healthcare consumers—we will transform vision care accessibility. The strategic focus on community trust, digital relevance, and premium service delivery ensures sustainable growth within Kuwait's evolving healthcare ecosystem. As a cornerstone of Vision 2035, this plan doesn't just market an optometrist practice; it champions a healthier future for every citizen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Kuwait City</dc:title>
  <dc:creator/>
  <dc:language>en</dc:language>
  <cp:keywords/>
  <dcterms:created xsi:type="dcterms:W3CDTF">2026-07-23T13:30:16Z</dcterms:created>
  <dcterms:modified xsi:type="dcterms:W3CDTF">2026-07-23T13:30:16Z</dcterms:modified>
</cp:coreProperties>
</file>

<file path=docProps/custom.xml><?xml version="1.0" encoding="utf-8"?>
<Properties xmlns="http://schemas.openxmlformats.org/officeDocument/2006/custom-properties" xmlns:vt="http://schemas.openxmlformats.org/officeDocument/2006/docPropsVTypes"/>
</file>