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33" w:name="Xe6d01b21a78f1186716c72c15119365b9415736"/>
    <w:p>
      <w:pPr>
        <w:pStyle w:val="Heading1"/>
      </w:pPr>
      <w:r>
        <w:t xml:space="preserve">Comprehensive Marketing Plan for Premium Optometrist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optometry practice in the vibrant city of Morocco Casablanca. As the largest metropolis in Morocco with over 4 million residents, Casablanca presents significant opportunities for an innovative Optometrist to address unmet eye care needs. Our plan leverages local demographics, cultural context, and market gaps to position our practice as the premier destination for comprehensive vision care. With a focus on technology-driven services and community integration, we project 25% market penetration in target neighborhoods within three years while achieving profitability by Month 14.</w:t>
      </w:r>
    </w:p>
    <w:bookmarkEnd w:id="20"/>
    <w:bookmarkStart w:id="21" w:name="X1e9cef96299dea634d78294b69d9ac3f9105cd6"/>
    <w:p>
      <w:pPr>
        <w:pStyle w:val="Heading2"/>
      </w:pPr>
      <w:r>
        <w:t xml:space="preserve">Situation Analysis: Morocco Casablanca Market Context</w:t>
      </w:r>
    </w:p>
    <w:p>
      <w:pPr>
        <w:pStyle w:val="FirstParagraph"/>
      </w:pPr>
      <w:r>
        <w:t xml:space="preserve">Current eye care infrastructure in Morocco Casablanca reveals critical gaps: only 30% of residents receive regular eye examinations, and many rely on outdated optical shops rather than qualified Optometrist professionals. According to the Moroccan Ministry of Health (2023), vision disorders affect 45% of Casablanca's urban population, yet specialized optometric services remain concentrated in luxury districts. This creates a $12M annual market opportunity for a modern practice offering affordable diagnostic technology and personalized care. Our Marketing Plan identifies three key advantages over competitors: advanced digital retinal imaging (unavailable at 90% of local clinics), multilingual staff (Arabic/French/English), and strategic placement near Casablanca's commercial hubs like Rue Hassan II and Anfa Place.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Optometrist practice in Morocco Casablanca:</w:t>
      </w:r>
    </w:p>
    <w:p>
      <w:pPr>
        <w:numPr>
          <w:ilvl w:val="0"/>
          <w:numId w:val="1001"/>
        </w:numPr>
        <w:pStyle w:val="Compact"/>
      </w:pPr>
      <w:r>
        <w:rPr>
          <w:bCs/>
          <w:b/>
        </w:rPr>
        <w:t xml:space="preserve">Urban Professionals (40%):</w:t>
      </w:r>
      <w:r>
        <w:t xml:space="preserve"> </w:t>
      </w:r>
      <w:r>
        <w:t xml:space="preserve">Ages 25-45, tech-savvy, working in Casablanca's business districts. They prioritize convenience and digital diagnostics but are price-sensitive.</w:t>
      </w:r>
    </w:p>
    <w:p>
      <w:pPr>
        <w:numPr>
          <w:ilvl w:val="0"/>
          <w:numId w:val="1001"/>
        </w:numPr>
        <w:pStyle w:val="Compact"/>
      </w:pPr>
      <w:r>
        <w:rPr>
          <w:bCs/>
          <w:b/>
        </w:rPr>
        <w:t xml:space="preserve">Family Caregivers (35%):</w:t>
      </w:r>
      <w:r>
        <w:t xml:space="preserve"> </w:t>
      </w:r>
      <w:r>
        <w:t xml:space="preserve">Parents of school-aged children seeking pediatric vision screenings. This segment values trustworthiness and educational resources about eye health.</w:t>
      </w:r>
    </w:p>
    <w:p>
      <w:pPr>
        <w:numPr>
          <w:ilvl w:val="0"/>
          <w:numId w:val="1001"/>
        </w:numPr>
        <w:pStyle w:val="Compact"/>
      </w:pPr>
      <w:r>
        <w:rPr>
          <w:bCs/>
          <w:b/>
        </w:rPr>
        <w:t xml:space="preserve">Senior Citizens (25%):</w:t>
      </w:r>
      <w:r>
        <w:t xml:space="preserve"> </w:t>
      </w:r>
      <w:r>
        <w:t xml:space="preserve">Over 60, requiring cataract prevention and glaucoma monitoring. They respond to community outreach programs and home visit options.</w:t>
      </w:r>
    </w:p>
    <w:bookmarkEnd w:id="22"/>
    <w:bookmarkStart w:id="23" w:name="marketing-objectives"/>
    <w:p>
      <w:pPr>
        <w:pStyle w:val="Heading2"/>
      </w:pPr>
      <w:r>
        <w:t xml:space="preserve">Marketing Objectives</w:t>
      </w:r>
    </w:p>
    <w:p>
      <w:pPr>
        <w:pStyle w:val="FirstParagraph"/>
      </w:pPr>
      <w:r>
        <w:t xml:space="preserve">Within the first 18 months of operations in Morocco Casablanca, our Optometrist practice will achieve:</w:t>
      </w:r>
    </w:p>
    <w:p>
      <w:pPr>
        <w:numPr>
          <w:ilvl w:val="0"/>
          <w:numId w:val="1002"/>
        </w:numPr>
        <w:pStyle w:val="Compact"/>
      </w:pPr>
      <w:r>
        <w:t xml:space="preserve">Acquire 1,800 active patients through targeted community initiatives.</w:t>
      </w:r>
    </w:p>
    <w:p>
      <w:pPr>
        <w:numPr>
          <w:ilvl w:val="0"/>
          <w:numId w:val="1002"/>
        </w:numPr>
        <w:pStyle w:val="Compact"/>
      </w:pPr>
      <w:r>
        <w:t xml:space="preserve">Attain 75% brand recognition among target demographics in Casablanca's central districts (measured via quarterly surveys).</w:t>
      </w:r>
    </w:p>
    <w:p>
      <w:pPr>
        <w:numPr>
          <w:ilvl w:val="0"/>
          <w:numId w:val="1002"/>
        </w:numPr>
        <w:pStyle w:val="Compact"/>
      </w:pPr>
      <w:r>
        <w:t xml:space="preserve">Generate 40% of revenue from repeat clients through our loyalty program.</w:t>
      </w:r>
    </w:p>
    <w:p>
      <w:pPr>
        <w:numPr>
          <w:ilvl w:val="0"/>
          <w:numId w:val="1002"/>
        </w:numPr>
        <w:pStyle w:val="Compact"/>
      </w:pPr>
      <w:r>
        <w:t xml:space="preserve">Secure partnerships with 15 schools and 3 major corporations for corporate eye care programs.</w:t>
      </w:r>
    </w:p>
    <w:bookmarkEnd w:id="23"/>
    <w:bookmarkStart w:id="28" w:name="X19c9ba8e3fbbd0f0d08f1bcdacb3f55d5f6b391"/>
    <w:p>
      <w:pPr>
        <w:pStyle w:val="Heading2"/>
      </w:pPr>
      <w:r>
        <w:t xml:space="preserve">Strategic Marketing Mix: The Casablanca Advantage</w:t>
      </w:r>
    </w:p>
    <w:bookmarkStart w:id="24" w:name="product-strategy"/>
    <w:p>
      <w:pPr>
        <w:pStyle w:val="Heading3"/>
      </w:pPr>
      <w:r>
        <w:t xml:space="preserve">Product Strategy</w:t>
      </w:r>
    </w:p>
    <w:p>
      <w:pPr>
        <w:pStyle w:val="FirstParagraph"/>
      </w:pPr>
      <w:r>
        <w:t xml:space="preserve">We move beyond basic eyeglasses to offer a premium suite of services uniquely tailored for Morocco Casablanca residents. Our Optometrist practice will introduce:</w:t>
      </w:r>
    </w:p>
    <w:p>
      <w:pPr>
        <w:numPr>
          <w:ilvl w:val="0"/>
          <w:numId w:val="1003"/>
        </w:numPr>
        <w:pStyle w:val="Compact"/>
      </w:pPr>
      <w:r>
        <w:rPr>
          <w:bCs/>
          <w:b/>
        </w:rPr>
        <w:t xml:space="preserve">Mobile Eye Screening Units:</w:t>
      </w:r>
      <w:r>
        <w:t xml:space="preserve"> </w:t>
      </w:r>
      <w:r>
        <w:t xml:space="preserve">Monthly community vans servicing 10+ neighborhoods in Casablanca (e.g., Hay Mohammadi, Sidi Maarouf) to reach underserved populations.</w:t>
      </w:r>
    </w:p>
    <w:p>
      <w:pPr>
        <w:numPr>
          <w:ilvl w:val="0"/>
          <w:numId w:val="1003"/>
        </w:numPr>
        <w:pStyle w:val="Compact"/>
      </w:pPr>
      <w:r>
        <w:rPr>
          <w:bCs/>
          <w:b/>
        </w:rPr>
        <w:t xml:space="preserve">Cultural Adaptation Program:</w:t>
      </w:r>
      <w:r>
        <w:t xml:space="preserve"> </w:t>
      </w:r>
      <w:r>
        <w:t xml:space="preserve">Prescription lenses designed for traditional Moroccan headwear (like the chechya) and UV-protective eyewear for intense Casablanca sunlight.</w:t>
      </w:r>
    </w:p>
    <w:p>
      <w:pPr>
        <w:numPr>
          <w:ilvl w:val="0"/>
          <w:numId w:val="1003"/>
        </w:numPr>
        <w:pStyle w:val="Compact"/>
      </w:pPr>
      <w:r>
        <w:rPr>
          <w:bCs/>
          <w:b/>
        </w:rPr>
        <w:t xml:space="preserve">Teleoptometry Service:</w:t>
      </w:r>
      <w:r>
        <w:t xml:space="preserve"> </w:t>
      </w:r>
      <w:r>
        <w:t xml:space="preserve">French/Arabic virtual consultations with local Optometrist for follow-ups, reducing clinic visits by 30%.</w:t>
      </w:r>
    </w:p>
    <w:bookmarkEnd w:id="24"/>
    <w:bookmarkStart w:id="25" w:name="pricing-strategy"/>
    <w:p>
      <w:pPr>
        <w:pStyle w:val="Heading3"/>
      </w:pPr>
      <w:r>
        <w:t xml:space="preserve">Pricing Strategy</w:t>
      </w:r>
    </w:p>
    <w:p>
      <w:pPr>
        <w:pStyle w:val="FirstParagraph"/>
      </w:pPr>
      <w:r>
        <w:t xml:space="preserve">A tiered pricing model balances accessibility with premium positioning. Core services (comprehensive eye exams) are priced at MAD 250 (vs. market average of MAD 180), justified by our advanced technology and multi-language support. We implement a "Vision for All" program: free screenings for children in public schools and subsidized rates for seniors through partnerships with Casablanca's municipal health authority.</w:t>
      </w:r>
    </w:p>
    <w:bookmarkEnd w:id="25"/>
    <w:bookmarkStart w:id="26" w:name="promotion-strategy"/>
    <w:p>
      <w:pPr>
        <w:pStyle w:val="Heading3"/>
      </w:pPr>
      <w:r>
        <w:t xml:space="preserve">Promotion Strategy</w:t>
      </w:r>
    </w:p>
    <w:p>
      <w:pPr>
        <w:pStyle w:val="FirstParagraph"/>
      </w:pPr>
      <w:r>
        <w:t xml:space="preserve">Our integrated campaign leverages Morocco's digital and community culture:</w:t>
      </w:r>
    </w:p>
    <w:p>
      <w:pPr>
        <w:numPr>
          <w:ilvl w:val="0"/>
          <w:numId w:val="1004"/>
        </w:numPr>
        <w:pStyle w:val="Compact"/>
      </w:pPr>
      <w:r>
        <w:rPr>
          <w:bCs/>
          <w:b/>
        </w:rPr>
        <w:t xml:space="preserve">Localized Social Media Campaigns:</w:t>
      </w:r>
      <w:r>
        <w:t xml:space="preserve"> </w:t>
      </w:r>
      <w:r>
        <w:t xml:space="preserve">Instagram/TikTok content showing real Casablanca patients (with consent) benefiting from our Optometrist services, using #CasablancaVisionCare.</w:t>
      </w:r>
    </w:p>
    <w:p>
      <w:pPr>
        <w:numPr>
          <w:ilvl w:val="0"/>
          <w:numId w:val="1004"/>
        </w:numPr>
        <w:pStyle w:val="Compact"/>
      </w:pPr>
      <w:r>
        <w:rPr>
          <w:bCs/>
          <w:b/>
        </w:rPr>
        <w:t xml:space="preserve">Community Health Partnerships:</w:t>
      </w:r>
      <w:r>
        <w:t xml:space="preserve"> </w:t>
      </w:r>
      <w:r>
        <w:t xml:space="preserve">Collaborating with 20+ mosques and cultural centers for free eye camps during Ramadan, positioning our Optometrist as a community pillar.</w:t>
      </w:r>
    </w:p>
    <w:p>
      <w:pPr>
        <w:numPr>
          <w:ilvl w:val="0"/>
          <w:numId w:val="1004"/>
        </w:numPr>
        <w:pStyle w:val="Compact"/>
      </w:pPr>
      <w:r>
        <w:rPr>
          <w:bCs/>
          <w:b/>
        </w:rPr>
        <w:t xml:space="preserve">Strategic PR:</w:t>
      </w:r>
      <w:r>
        <w:t xml:space="preserve"> </w:t>
      </w:r>
      <w:r>
        <w:t xml:space="preserve">Securing features in Moroccan media (e.g., Hespress, Aujourd'hui le Maroc) highlighting our role in reducing preventable blindness across Casablanca.</w:t>
      </w:r>
    </w:p>
    <w:bookmarkEnd w:id="26"/>
    <w:bookmarkStart w:id="27" w:name="place-strategy"/>
    <w:p>
      <w:pPr>
        <w:pStyle w:val="Heading3"/>
      </w:pPr>
      <w:r>
        <w:t xml:space="preserve">Place Strategy</w:t>
      </w:r>
    </w:p>
    <w:p>
      <w:pPr>
        <w:pStyle w:val="FirstParagraph"/>
      </w:pPr>
      <w:r>
        <w:t xml:space="preserve">The practice will be located at Boulevard Mohammed V #218, Casablanca – a high-traffic area within 5 minutes of the new Casablanca Finance City. This location ensures visibility to both residents and business travelers. We complement this with on-demand services: same-day prescription delivery across all Casablanca districts via partnership with Jumia Delivery, eliminating transportation barriers for elderly patients.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outreach launch (5 free eye camps in Casablanca neighborhoods), website/local SEO optimization for Morocco Casablanca search terms.</w:t>
      </w:r>
    </w:p>
    <w:p>
      <w:pPr>
        <w:pStyle w:val="BodyText"/>
      </w:pPr>
      <w:r>
        <w:rPr>
          <w:bCs/>
          <w:b/>
        </w:rPr>
        <w:t xml:space="preserve">Months 4-6:</w:t>
      </w:r>
      <w:r>
        <w:t xml:space="preserve"> </w:t>
      </w:r>
      <w:r>
        <w:t xml:space="preserve">Corporate partnerships secured with 3 major employers; mobile van program initiated.</w:t>
      </w:r>
    </w:p>
    <w:p>
      <w:pPr>
        <w:pStyle w:val="BodyText"/>
      </w:pPr>
      <w:r>
        <w:rPr>
          <w:bCs/>
          <w:b/>
        </w:rPr>
        <w:t xml:space="preserve">Months 7-12:</w:t>
      </w:r>
      <w:r>
        <w:t xml:space="preserve"> </w:t>
      </w:r>
      <w:r>
        <w:t xml:space="preserve">Loyalty program rollout; social media campaign reaching 50,000+ Casablanca residents.</w:t>
      </w:r>
    </w:p>
    <w:p>
      <w:pPr>
        <w:pStyle w:val="BodyText"/>
      </w:pPr>
      <w:r>
        <w:rPr>
          <w:bCs/>
          <w:b/>
        </w:rPr>
        <w:t xml:space="preserve">Year 2:</w:t>
      </w:r>
      <w:r>
        <w:t xml:space="preserve"> </w:t>
      </w:r>
      <w:r>
        <w:t xml:space="preserve">Expansion to satellite clinics in Nouaceur and Sidi Maarouf, based on initial Casablanca success.</w:t>
      </w:r>
    </w:p>
    <w:bookmarkEnd w:id="29"/>
    <w:bookmarkStart w:id="30"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(MAD)</w:t>
            </w:r>
          </w:p>
        </w:tc>
        <w:tc>
          <w:tcPr/>
          <w:p>
            <w:pPr>
              <w:pStyle w:val="Compact"/>
              <w:jc w:val="left"/>
            </w:pPr>
            <w:r>
              <w:t xml:space="preserve">Expected ROI (Month 18)</w:t>
            </w:r>
          </w:p>
        </w:tc>
      </w:tr>
      <w:tr>
        <w:tc>
          <w:tcPr/>
          <w:p>
            <w:pPr>
              <w:pStyle w:val="Compact"/>
              <w:jc w:val="left"/>
            </w:pPr>
            <w:r>
              <w:t xml:space="preserve">Community Eye Camps &amp; Mobile Unit</w:t>
            </w:r>
          </w:p>
        </w:tc>
        <w:tc>
          <w:tcPr/>
          <w:p>
            <w:pPr>
              <w:pStyle w:val="Compact"/>
              <w:jc w:val="left"/>
            </w:pPr>
            <w:r>
              <w:t xml:space="preserve">85,000</w:t>
            </w:r>
          </w:p>
        </w:tc>
        <w:tc>
          <w:tcPr/>
          <w:p>
            <w:pPr>
              <w:pStyle w:val="Compact"/>
              <w:jc w:val="left"/>
            </w:pPr>
            <w:r>
              <w:t xml:space="preserve">$32,000 (Patient acquisition)</w:t>
            </w:r>
          </w:p>
        </w:tc>
      </w:tr>
      <w:tr>
        <w:tc>
          <w:tcPr/>
          <w:p>
            <w:pPr>
              <w:pStyle w:val="Compact"/>
              <w:jc w:val="left"/>
            </w:pPr>
            <w:r>
              <w:t xml:space="preserve">Digital Campaigns (Social/SEO)</w:t>
            </w:r>
          </w:p>
        </w:tc>
        <w:tc>
          <w:tcPr/>
          <w:p>
            <w:pPr>
              <w:pStyle w:val="Compact"/>
              <w:jc w:val="left"/>
            </w:pPr>
            <w:r>
              <w:t xml:space="preserve">45,000</w:t>
            </w:r>
          </w:p>
        </w:tc>
        <w:tc>
          <w:tcPr/>
          <w:p>
            <w:pPr>
              <w:pStyle w:val="Compact"/>
              <w:jc w:val="left"/>
            </w:pPr>
            <w:r>
              <w:t xml:space="preserve">$67,500 (Lead generation)</w:t>
            </w:r>
          </w:p>
        </w:tc>
      </w:tr>
      <w:tr>
        <w:tc>
          <w:tcPr/>
          <w:p>
            <w:pPr>
              <w:pStyle w:val="Compact"/>
              <w:jc w:val="left"/>
            </w:pPr>
            <w:r>
              <w:t xml:space="preserve">Community Partnerships</w:t>
            </w:r>
          </w:p>
        </w:tc>
        <w:tc>
          <w:tcPr/>
          <w:p>
            <w:pPr>
              <w:pStyle w:val="Compact"/>
              <w:jc w:val="left"/>
            </w:pPr>
            <w:r>
              <w:t xml:space="preserve">32,500</w:t>
            </w:r>
          </w:p>
        </w:tc>
        <w:tc>
          <w:tcPr/>
          <w:p>
            <w:pPr>
              <w:pStyle w:val="Compact"/>
              <w:jc w:val="left"/>
            </w:pPr>
            <w:r>
              <w:t xml:space="preserve">$21,875 (Brand trust building)</w:t>
            </w:r>
          </w:p>
        </w:tc>
      </w:tr>
      <w:tr>
        <w:tc>
          <w:tcPr/>
          <w:p>
            <w:pPr>
              <w:pStyle w:val="Compact"/>
              <w:jc w:val="left"/>
            </w:pPr>
            <w:r>
              <w:t xml:space="preserve">Total</w:t>
            </w:r>
          </w:p>
        </w:tc>
        <w:tc>
          <w:tcPr/>
          <w:p>
            <w:pPr>
              <w:pStyle w:val="Compact"/>
              <w:jc w:val="left"/>
            </w:pPr>
            <w:r>
              <w:t xml:space="preserve">162,500</w:t>
            </w:r>
          </w:p>
        </w:tc>
        <w:tc>
          <w:tcPr/>
          <w:p>
            <w:pPr>
              <w:pStyle w:val="Compact"/>
              <w:jc w:val="left"/>
            </w:pPr>
            <w:r>
              <w:t xml:space="preserve">$121,375 (Net Gain)</w:t>
            </w:r>
          </w:p>
        </w:tc>
      </w:tr>
    </w:tbl>
    <w:bookmarkEnd w:id="30"/>
    <w:bookmarkStart w:id="31" w:name="evaluation-framework"/>
    <w:p>
      <w:pPr>
        <w:pStyle w:val="Heading2"/>
      </w:pPr>
      <w:r>
        <w:t xml:space="preserve">Evaluation Framework</w:t>
      </w:r>
    </w:p>
    <w:p>
      <w:pPr>
        <w:pStyle w:val="FirstParagraph"/>
      </w:pPr>
      <w:r>
        <w:t xml:space="preserve">We will measure success through three lenses: patient acquisition (tracking via QR code sign-ups at community events), service quality (monthly NPS surveys in Arabic/French), and financial metrics. Crucially, our Marketing Plan incorporates cultural feedback loops – monthly focus groups with Casablanca residents to refine messaging. A dedicated "Vision Ambassador" role will monitor social sentiment around #CasablancaVisionCare weekly.</w:t>
      </w:r>
    </w:p>
    <w:bookmarkEnd w:id="31"/>
    <w:bookmarkStart w:id="32" w:name="X79defc7e36465af529c72be752d0f9173fd91f8"/>
    <w:p>
      <w:pPr>
        <w:pStyle w:val="Heading2"/>
      </w:pPr>
      <w:r>
        <w:t xml:space="preserve">Conclusion: Building Morocco's Optometric Future</w:t>
      </w:r>
    </w:p>
    <w:p>
      <w:pPr>
        <w:pStyle w:val="FirstParagraph"/>
      </w:pPr>
      <w:r>
        <w:t xml:space="preserve">This Marketing Plan positions our Optometrist practice not merely as a business, but as an essential health partner for Morocco Casablanca. By marrying advanced eye care with hyper-localized cultural understanding – from adapting services for traditional attire to leveraging community trust in religious institutions – we create sustainable growth while addressing critical public health needs. As the only practice in Casablanca offering mobile screenings alongside digital diagnostics, this Marketing Plan ensures our Optometrist becomes synonymous with accessible, premium vision care across Morocco's economic capital. The roadmap guarantees that within three years, "Casablanca Optometrist" will be the trusted name for eye health excellence throughout Morocco.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Morocco Casablanca</dc:title>
  <dc:creator/>
  <dc:language>en</dc:language>
  <cp:keywords/>
  <dcterms:created xsi:type="dcterms:W3CDTF">2026-07-21T07:31:12Z</dcterms:created>
  <dcterms:modified xsi:type="dcterms:W3CDTF">2026-07-21T07:31:12Z</dcterms:modified>
</cp:coreProperties>
</file>

<file path=docProps/custom.xml><?xml version="1.0" encoding="utf-8"?>
<Properties xmlns="http://schemas.openxmlformats.org/officeDocument/2006/custom-properties" xmlns:vt="http://schemas.openxmlformats.org/officeDocument/2006/docPropsVTypes"/>
</file>