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Russia</w:t>
      </w:r>
      <w:r>
        <w:t xml:space="preserve"> </w:t>
      </w:r>
      <w:r>
        <w:t xml:space="preserve">Moscow</w:t>
      </w:r>
    </w:p>
    <w:bookmarkStart w:id="33" w:name="X12448a24c652ea05b965801b47521c62bbe80f4"/>
    <w:p>
      <w:pPr>
        <w:pStyle w:val="Heading1"/>
      </w:pPr>
      <w:r>
        <w:t xml:space="preserve">Comprehensive Marketing Plan: Premium Optometrist Services in Russia Moscow</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optometrist practice in Moscow, Russia. With rapidly increasing demand for eye care services driven by urbanization, digital screen dependency, and aging population trends, our practice will position itself as the leading provider of advanced vision solutions in the Russian capital. The plan details targeted market entry strategies, patient acquisition tactics tailored to Moscow's unique demographic landscape, and measurable objectives to capture 15% market share within three years while establishing brand leadership in Russia Moscow.</w:t>
      </w:r>
    </w:p>
    <w:bookmarkEnd w:id="20"/>
    <w:bookmarkStart w:id="21" w:name="market-analysis-russia-moscow-context"/>
    <w:p>
      <w:pPr>
        <w:pStyle w:val="Heading2"/>
      </w:pPr>
      <w:r>
        <w:t xml:space="preserve">Market Analysis: Russia Moscow Context</w:t>
      </w:r>
    </w:p>
    <w:p>
      <w:pPr>
        <w:pStyle w:val="FirstParagraph"/>
      </w:pPr>
      <w:r>
        <w:t xml:space="preserve">The optometry market in Russia Moscow presents significant growth opportunities. According to Rosstat data, 68% of Muscovites experience vision problems due to prolonged screen exposure and environmental factors. The city's high smartphone penetration (94%) and dense urban population create urgent demand for specialized eye care. However, current service gaps persist: only 32% of Moscow residents report accessing comprehensive eye exams annually, with many relying on outdated clinics or self-diagnosis through unverified online sources.</w:t>
      </w:r>
    </w:p>
    <w:p>
      <w:pPr>
        <w:pStyle w:val="BodyText"/>
      </w:pPr>
      <w:r>
        <w:t xml:space="preserve">Critical competitive analysis reveals that existing optometrist practices in Moscow often lack technological integration and patient-centric approaches. Competitors typically focus on basic refraction services rather than holistic vision management. This presents a strategic opportunity for our practice to differentiate through cutting-edge technology (including AI-powered retinal scans) and personalized care pathways – positioning us as the definitive choice for modern Moscow residents seeking proactive eye health solutions.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Russia Moscow:</w:t>
      </w:r>
    </w:p>
    <w:p>
      <w:pPr>
        <w:numPr>
          <w:ilvl w:val="0"/>
          <w:numId w:val="1001"/>
        </w:numPr>
        <w:pStyle w:val="Compact"/>
      </w:pPr>
      <w:r>
        <w:rPr>
          <w:bCs/>
          <w:b/>
        </w:rPr>
        <w:t xml:space="preserve">Urban Professionals (30-45 years):</w:t>
      </w:r>
      <w:r>
        <w:t xml:space="preserve"> </w:t>
      </w:r>
      <w:r>
        <w:t xml:space="preserve">Office workers with digital eye strain; 78% of Moscow's corporate workforce require regular vision assessments. Primary concerns: presbyopia management, blue-light protection, and work-style accommodations.</w:t>
      </w:r>
    </w:p>
    <w:p>
      <w:pPr>
        <w:numPr>
          <w:ilvl w:val="0"/>
          <w:numId w:val="1001"/>
        </w:numPr>
        <w:pStyle w:val="Compact"/>
      </w:pPr>
      <w:r>
        <w:rPr>
          <w:bCs/>
          <w:b/>
        </w:rPr>
        <w:t xml:space="preserve">Parents of School-Aged Children:</w:t>
      </w:r>
      <w:r>
        <w:t xml:space="preserve"> </w:t>
      </w:r>
      <w:r>
        <w:t xml:space="preserve">Growing demand for pediatric optometry (23% annual increase in Moscow). Parents seek early detection of myopia progression and school-readiness vision screenings.</w:t>
      </w:r>
    </w:p>
    <w:p>
      <w:pPr>
        <w:numPr>
          <w:ilvl w:val="0"/>
          <w:numId w:val="1001"/>
        </w:numPr>
        <w:pStyle w:val="Compact"/>
      </w:pPr>
      <w:r>
        <w:rPr>
          <w:bCs/>
          <w:b/>
        </w:rPr>
        <w:t xml:space="preserve">Senior Citizens (60+ years):</w:t>
      </w:r>
      <w:r>
        <w:t xml:space="preserve"> </w:t>
      </w:r>
      <w:r>
        <w:t xml:space="preserve">Rapidly expanding demographic with 41% prevalence of age-related eye conditions. Focus: cataract prevention, diabetic retinopathy screening, and low-vision aids.</w:t>
      </w:r>
    </w:p>
    <w:bookmarkEnd w:id="22"/>
    <w:bookmarkStart w:id="23" w:name="marketing-objectives-12-36-months"/>
    <w:p>
      <w:pPr>
        <w:pStyle w:val="Heading2"/>
      </w:pPr>
      <w:r>
        <w:t xml:space="preserve">Marketing Objectives (12-36 Months)</w:t>
      </w:r>
    </w:p>
    <w:p>
      <w:pPr>
        <w:pStyle w:val="FirstParagraph"/>
      </w:pPr>
      <w:r>
        <w:rPr>
          <w:bCs/>
          <w:b/>
        </w:rPr>
        <w:t xml:space="preserve">Brand Awareness:</w:t>
      </w:r>
      <w:r>
        <w:t xml:space="preserve"> </w:t>
      </w:r>
      <w:r>
        <w:t xml:space="preserve">Achieve 65% recognition among target demographics in Moscow within 18 months through localized campaigns.</w:t>
      </w:r>
    </w:p>
    <w:p>
      <w:pPr>
        <w:pStyle w:val="BodyText"/>
      </w:pPr>
      <w:r>
        <w:rPr>
          <w:bCs/>
          <w:b/>
        </w:rPr>
        <w:t xml:space="preserve">Patient Acquisition:</w:t>
      </w:r>
      <w:r>
        <w:t xml:space="preserve"> </w:t>
      </w:r>
      <w:r>
        <w:t xml:space="preserve">Secure 5,000 active patients by Year 3 with a sustainable monthly intake of 280 new patients.</w:t>
      </w:r>
    </w:p>
    <w:p>
      <w:pPr>
        <w:numPr>
          <w:ilvl w:val="0"/>
          <w:numId w:val="1002"/>
        </w:numPr>
        <w:pStyle w:val="Compact"/>
      </w:pPr>
      <w:r>
        <w:t xml:space="preserve">Primary metric: Patient acquisition cost (PAC) below ₽1,800 ($21) per patient</w:t>
      </w:r>
    </w:p>
    <w:p>
      <w:pPr>
        <w:pStyle w:val="FirstParagraph"/>
      </w:pPr>
      <w:r>
        <w:rPr>
          <w:bCs/>
          <w:b/>
        </w:rPr>
        <w:t xml:space="preserve">Service Penetration:</w:t>
      </w:r>
      <w:r>
        <w:t xml:space="preserve"> </w:t>
      </w:r>
      <w:r>
        <w:t xml:space="preserve">Capture 15% market share in premium optometry services across Moscow's 3.9 million residents.</w:t>
      </w:r>
    </w:p>
    <w:bookmarkEnd w:id="23"/>
    <w:bookmarkStart w:id="28" w:name="X15f1b336a77feaf911a7d0cf4e357d207ed0edf"/>
    <w:p>
      <w:pPr>
        <w:pStyle w:val="Heading2"/>
      </w:pPr>
      <w:r>
        <w:t xml:space="preserve">Strategic Marketing Mix: Russia Moscow Adaptation</w:t>
      </w:r>
    </w:p>
    <w:bookmarkStart w:id="24" w:name="product-strategy"/>
    <w:p>
      <w:pPr>
        <w:pStyle w:val="Heading3"/>
      </w:pPr>
      <w:r>
        <w:t xml:space="preserve">Product Strategy</w:t>
      </w:r>
    </w:p>
    <w:p>
      <w:pPr>
        <w:pStyle w:val="FirstParagraph"/>
      </w:pPr>
      <w:r>
        <w:t xml:space="preserve">We will deploy a tiered service model uniquely calibrated for Russia Moscow:</w:t>
      </w:r>
    </w:p>
    <w:p>
      <w:pPr>
        <w:numPr>
          <w:ilvl w:val="0"/>
          <w:numId w:val="1003"/>
        </w:numPr>
        <w:pStyle w:val="Compact"/>
      </w:pPr>
      <w:r>
        <w:rPr>
          <w:bCs/>
          <w:b/>
        </w:rPr>
        <w:t xml:space="preserve">Essential Eye Health Check (₽4,500):</w:t>
      </w:r>
      <w:r>
        <w:t xml:space="preserve"> </w:t>
      </w:r>
      <w:r>
        <w:t xml:space="preserve">Basic screening with digital refractor (targeting working professionals)</w:t>
      </w:r>
    </w:p>
    <w:p>
      <w:pPr>
        <w:numPr>
          <w:ilvl w:val="0"/>
          <w:numId w:val="1003"/>
        </w:numPr>
        <w:pStyle w:val="Compact"/>
      </w:pPr>
      <w:r>
        <w:rPr>
          <w:bCs/>
          <w:b/>
        </w:rPr>
        <w:t xml:space="preserve">Vision Wellness Package (₽9,200):</w:t>
      </w:r>
      <w:r>
        <w:t xml:space="preserve"> </w:t>
      </w:r>
      <w:r>
        <w:t xml:space="preserve">Includes AI retinal analysis + personalized blue-light strategy for Moscow's screen-heavy lifestyle</w:t>
      </w:r>
    </w:p>
    <w:p>
      <w:pPr>
        <w:numPr>
          <w:ilvl w:val="0"/>
          <w:numId w:val="1003"/>
        </w:numPr>
        <w:pStyle w:val="Compact"/>
      </w:pPr>
      <w:r>
        <w:rPr>
          <w:bCs/>
          <w:b/>
        </w:rPr>
        <w:t xml:space="preserve">Senior Vision Care Subscription (₽14,500/year):</w:t>
      </w:r>
      <w:r>
        <w:t xml:space="preserve"> </w:t>
      </w:r>
      <w:r>
        <w:t xml:space="preserve">Premium plan with quarterly telehealth consultations and diabetic monitoring – addressing Russia's rising diabetes rates (22% of Moscow adults)</w:t>
      </w:r>
    </w:p>
    <w:bookmarkEnd w:id="24"/>
    <w:bookmarkStart w:id="25" w:name="pricing-strategy"/>
    <w:p>
      <w:pPr>
        <w:pStyle w:val="Heading3"/>
      </w:pPr>
      <w:r>
        <w:t xml:space="preserve">Pricing Strategy</w:t>
      </w:r>
    </w:p>
    <w:p>
      <w:pPr>
        <w:pStyle w:val="FirstParagraph"/>
      </w:pPr>
      <w:r>
        <w:t xml:space="preserve">Pricing reflects Moscow's economic landscape while maintaining premium positioning. Competitors average ₽3,800 for basic exams, but we position at 15-20% premium through superior technology and outcomes. The plan includes:</w:t>
      </w:r>
    </w:p>
    <w:p>
      <w:pPr>
        <w:numPr>
          <w:ilvl w:val="0"/>
          <w:numId w:val="1004"/>
        </w:numPr>
        <w:pStyle w:val="Compact"/>
      </w:pPr>
      <w:r>
        <w:t xml:space="preserve">Corporate partnerships with Moscow business parks (offering employee discounts)</w:t>
      </w:r>
    </w:p>
    <w:p>
      <w:pPr>
        <w:numPr>
          <w:ilvl w:val="0"/>
          <w:numId w:val="1004"/>
        </w:numPr>
        <w:pStyle w:val="Compact"/>
      </w:pPr>
      <w:r>
        <w:t xml:space="preserve">Government healthcare scheme integration for senior citizens</w:t>
      </w:r>
    </w:p>
    <w:p>
      <w:pPr>
        <w:numPr>
          <w:ilvl w:val="0"/>
          <w:numId w:val="1004"/>
        </w:numPr>
        <w:pStyle w:val="Compact"/>
      </w:pPr>
      <w:r>
        <w:t xml:space="preserve">Limited-time "Vision Reset" promotions targeting post-holiday eye fatigue (January-February)</w:t>
      </w:r>
    </w:p>
    <w:bookmarkEnd w:id="25"/>
    <w:bookmarkStart w:id="26" w:name="distribution-place-strategy"/>
    <w:p>
      <w:pPr>
        <w:pStyle w:val="Heading3"/>
      </w:pPr>
      <w:r>
        <w:t xml:space="preserve">Distribution (Place) Strategy</w:t>
      </w:r>
    </w:p>
    <w:p>
      <w:pPr>
        <w:pStyle w:val="FirstParagraph"/>
      </w:pPr>
      <w:r>
        <w:t xml:space="preserve">Physical presence is critical in Russia Moscow. We will open three strategically located clinics:</w:t>
      </w:r>
    </w:p>
    <w:p>
      <w:pPr>
        <w:numPr>
          <w:ilvl w:val="0"/>
          <w:numId w:val="1005"/>
        </w:numPr>
        <w:pStyle w:val="Compact"/>
      </w:pPr>
      <w:r>
        <w:rPr>
          <w:bCs/>
          <w:b/>
        </w:rPr>
        <w:t xml:space="preserve">Central Moscow Clinic:</w:t>
      </w:r>
      <w:r>
        <w:t xml:space="preserve"> </w:t>
      </w:r>
      <w:r>
        <w:t xml:space="preserve">In Gorky Park district – high foot traffic, near business hubs and schools</w:t>
      </w:r>
    </w:p>
    <w:p>
      <w:pPr>
        <w:numPr>
          <w:ilvl w:val="0"/>
          <w:numId w:val="1005"/>
        </w:numPr>
        <w:pStyle w:val="Compact"/>
      </w:pPr>
      <w:r>
        <w:rPr>
          <w:bCs/>
          <w:b/>
        </w:rPr>
        <w:t xml:space="preserve">Northwest Moscow Clinic:</w:t>
      </w:r>
      <w:r>
        <w:t xml:space="preserve"> </w:t>
      </w:r>
      <w:r>
        <w:t xml:space="preserve">Near major residential zones (Marina Roscha) serving senior population</w:t>
      </w:r>
    </w:p>
    <w:p>
      <w:pPr>
        <w:numPr>
          <w:ilvl w:val="0"/>
          <w:numId w:val="1005"/>
        </w:numPr>
        <w:pStyle w:val="Compact"/>
      </w:pPr>
      <w:r>
        <w:rPr>
          <w:bCs/>
          <w:b/>
        </w:rPr>
        <w:t xml:space="preserve">Digital-First Service:</w:t>
      </w:r>
      <w:r>
        <w:t xml:space="preserve"> </w:t>
      </w:r>
      <w:r>
        <w:t xml:space="preserve">Virtual consultations via Telegram (Russia's dominant messaging app) for initial screenings</w:t>
      </w:r>
    </w:p>
    <w:bookmarkEnd w:id="26"/>
    <w:bookmarkStart w:id="27" w:name="X8ae7ad102aa3da32b549d4b929a7622ad17fd4c"/>
    <w:p>
      <w:pPr>
        <w:pStyle w:val="Heading3"/>
      </w:pPr>
      <w:r>
        <w:t xml:space="preserve">Promotion Strategy: Localized Moscow Execution</w:t>
      </w:r>
    </w:p>
    <w:p>
      <w:pPr>
        <w:pStyle w:val="FirstParagraph"/>
      </w:pPr>
      <w:r>
        <w:t xml:space="preserve">All campaigns integrate Russian cultural context and digital habits:</w:t>
      </w:r>
    </w:p>
    <w:p>
      <w:pPr>
        <w:numPr>
          <w:ilvl w:val="0"/>
          <w:numId w:val="1006"/>
        </w:numPr>
        <w:pStyle w:val="Compact"/>
      </w:pPr>
      <w:r>
        <w:rPr>
          <w:bCs/>
          <w:b/>
        </w:rPr>
        <w:t xml:space="preserve">Local Influencer Collaborations:</w:t>
      </w:r>
      <w:r>
        <w:t xml:space="preserve"> </w:t>
      </w:r>
      <w:r>
        <w:t xml:space="preserve">Partnering with Moscow-based health influencers (e.g., "Moscow Wellness" YouTube channel) for authentic patient testimonials</w:t>
      </w:r>
    </w:p>
    <w:p>
      <w:pPr>
        <w:numPr>
          <w:ilvl w:val="0"/>
          <w:numId w:val="1006"/>
        </w:numPr>
        <w:pStyle w:val="Compact"/>
      </w:pPr>
      <w:r>
        <w:rPr>
          <w:bCs/>
          <w:b/>
        </w:rPr>
        <w:t xml:space="preserve">Community Health Events:</w:t>
      </w:r>
      <w:r>
        <w:t xml:space="preserve"> </w:t>
      </w:r>
      <w:r>
        <w:t xml:space="preserve">Free vision screenings at Moscow metro stations during rush hours (partnering with MVD for security)</w:t>
      </w:r>
    </w:p>
    <w:p>
      <w:pPr>
        <w:numPr>
          <w:ilvl w:val="0"/>
          <w:numId w:val="1006"/>
        </w:numPr>
        <w:pStyle w:val="Compact"/>
      </w:pPr>
      <w:r>
        <w:rPr>
          <w:bCs/>
          <w:b/>
        </w:rPr>
        <w:t xml:space="preserve">Social Media Localization:</w:t>
      </w:r>
      <w:r>
        <w:t xml:space="preserve"> </w:t>
      </w:r>
      <w:r>
        <w:t xml:space="preserve">Instagram/TikTok campaigns featuring Russian patients sharing "Moscow Eye Journey" stories (using #МоскваВидитПравильно)</w:t>
      </w:r>
    </w:p>
    <w:p>
      <w:pPr>
        <w:numPr>
          <w:ilvl w:val="0"/>
          <w:numId w:val="1006"/>
        </w:numPr>
        <w:pStyle w:val="Compact"/>
      </w:pPr>
      <w:r>
        <w:rPr>
          <w:bCs/>
          <w:b/>
        </w:rPr>
        <w:t xml:space="preserve">Corporate Outreach:</w:t>
      </w:r>
      <w:r>
        <w:t xml:space="preserve"> </w:t>
      </w:r>
      <w:r>
        <w:t xml:space="preserve">Direct B2B sales to Moscow companies through HR departments for employee wellness programs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Entry (Months 1-4)</w:t>
            </w:r>
          </w:p>
        </w:tc>
        <w:tc>
          <w:tcPr/>
          <w:p>
            <w:pPr>
              <w:pStyle w:val="Compact"/>
              <w:jc w:val="left"/>
            </w:pPr>
            <w:r>
              <w:t xml:space="preserve">Q1-Q2 2024</w:t>
            </w:r>
          </w:p>
        </w:tc>
        <w:tc>
          <w:tcPr/>
          <w:p>
            <w:pPr>
              <w:pStyle w:val="Compact"/>
              <w:jc w:val="left"/>
            </w:pPr>
            <w:r>
              <w:t xml:space="preserve">Clinic setup in Central Moscow; staff recruitment from top Russian optometry schools; influencer partnerships secured</w:t>
            </w:r>
          </w:p>
        </w:tc>
      </w:tr>
      <w:tr>
        <w:tc>
          <w:tcPr/>
          <w:p>
            <w:pPr>
              <w:pStyle w:val="Compact"/>
              <w:jc w:val="left"/>
            </w:pPr>
            <w:r>
              <w:t xml:space="preserve">Growth Acceleration (Months 5-18)</w:t>
            </w:r>
          </w:p>
        </w:tc>
        <w:tc>
          <w:tcPr/>
          <w:p>
            <w:pPr>
              <w:pStyle w:val="Compact"/>
              <w:jc w:val="left"/>
            </w:pPr>
            <w:r>
              <w:t xml:space="preserve">Q3 2024-Q1 2025</w:t>
            </w:r>
          </w:p>
        </w:tc>
        <w:tc>
          <w:tcPr/>
          <w:p>
            <w:pPr>
              <w:pStyle w:val="Compact"/>
              <w:jc w:val="left"/>
            </w:pPr>
            <w:r>
              <w:t xml:space="preserve">Launch Northwest clinic; implement corporate partnership program; deploy AI diagnostic tools certified by Russian Ministry of Health</w:t>
            </w:r>
          </w:p>
        </w:tc>
      </w:tr>
      <w:tr>
        <w:tc>
          <w:tcPr/>
          <w:p>
            <w:pPr>
              <w:pStyle w:val="Compact"/>
              <w:jc w:val="left"/>
            </w:pPr>
            <w:r>
              <w:t xml:space="preserve">Market Leadership (Months 19-36)</w:t>
            </w:r>
          </w:p>
        </w:tc>
        <w:tc>
          <w:tcPr/>
          <w:p>
            <w:pPr>
              <w:pStyle w:val="Compact"/>
              <w:jc w:val="left"/>
            </w:pPr>
            <w:r>
              <w:t xml:space="preserve">Q2 2025-Q4 2026</w:t>
            </w:r>
          </w:p>
        </w:tc>
        <w:tc>
          <w:tcPr/>
          <w:p>
            <w:pPr>
              <w:pStyle w:val="Compact"/>
              <w:jc w:val="left"/>
            </w:pPr>
            <w:r>
              <w:t xml:space="preserve">Expand to third clinic; establish Moscow-based vision research partnership with RUDN University; launch premium subscription model</w:t>
            </w:r>
          </w:p>
        </w:tc>
      </w:tr>
    </w:tbl>
    <w:bookmarkEnd w:id="29"/>
    <w:bookmarkStart w:id="30" w:name="budget-allocation-first-year"/>
    <w:p>
      <w:pPr>
        <w:pStyle w:val="Heading2"/>
      </w:pPr>
      <w:r>
        <w:t xml:space="preserve">Budget Allocation (First Year)</w:t>
      </w:r>
    </w:p>
    <w:p>
      <w:pPr>
        <w:numPr>
          <w:ilvl w:val="0"/>
          <w:numId w:val="1007"/>
        </w:numPr>
        <w:pStyle w:val="Compact"/>
      </w:pPr>
      <w:r>
        <w:t xml:space="preserve">Technology &amp; Equipment: 40% (AI retinal scanners, digital patient management system)</w:t>
      </w:r>
    </w:p>
    <w:p>
      <w:pPr>
        <w:numPr>
          <w:ilvl w:val="0"/>
          <w:numId w:val="1007"/>
        </w:numPr>
        <w:pStyle w:val="Compact"/>
      </w:pPr>
      <w:r>
        <w:t xml:space="preserve">Localized Marketing: 35% (Influencer campaigns, community events, geo-targeted social ads on VKontakte/Telegram)</w:t>
      </w:r>
    </w:p>
    <w:p>
      <w:pPr>
        <w:numPr>
          <w:ilvl w:val="0"/>
          <w:numId w:val="1007"/>
        </w:numPr>
        <w:pStyle w:val="Compact"/>
      </w:pPr>
      <w:r>
        <w:t xml:space="preserve">Staff Training: 15% (Russian-specific clinical protocols and patient communication techniques)</w:t>
      </w:r>
    </w:p>
    <w:p>
      <w:pPr>
        <w:numPr>
          <w:ilvl w:val="0"/>
          <w:numId w:val="1007"/>
        </w:numPr>
        <w:pStyle w:val="Compact"/>
      </w:pPr>
      <w:r>
        <w:t xml:space="preserve">Contingency &amp; Research: 10%</w:t>
      </w:r>
    </w:p>
    <w:bookmarkEnd w:id="30"/>
    <w:bookmarkStart w:id="31" w:name="evaluation-metrics"/>
    <w:p>
      <w:pPr>
        <w:pStyle w:val="Heading2"/>
      </w:pPr>
      <w:r>
        <w:t xml:space="preserve">Evaluation Metrics</w:t>
      </w:r>
    </w:p>
    <w:p>
      <w:pPr>
        <w:pStyle w:val="FirstParagraph"/>
      </w:pPr>
      <w:r>
        <w:t xml:space="preserve">We will track success through three Moscow-specific KPIs:</w:t>
      </w:r>
    </w:p>
    <w:p>
      <w:pPr>
        <w:numPr>
          <w:ilvl w:val="0"/>
          <w:numId w:val="1008"/>
        </w:numPr>
        <w:pStyle w:val="Compact"/>
      </w:pPr>
      <w:r>
        <w:rPr>
          <w:bCs/>
          <w:b/>
        </w:rPr>
        <w:t xml:space="preserve">Market Penetration Rate:</w:t>
      </w:r>
      <w:r>
        <w:t xml:space="preserve"> </w:t>
      </w:r>
      <w:r>
        <w:t xml:space="preserve">% of target households using our services (Benchmark: 5% by Year 1)</w:t>
      </w:r>
    </w:p>
    <w:p>
      <w:pPr>
        <w:numPr>
          <w:ilvl w:val="0"/>
          <w:numId w:val="1008"/>
        </w:numPr>
        <w:pStyle w:val="Compact"/>
      </w:pPr>
      <w:r>
        <w:rPr>
          <w:bCs/>
          <w:b/>
        </w:rPr>
        <w:t xml:space="preserve">Patient Retention Rate:</w:t>
      </w:r>
      <w:r>
        <w:t xml:space="preserve"> </w:t>
      </w:r>
      <w:r>
        <w:t xml:space="preserve">% maintaining annual vision care (Target: 72% in Moscow's competitive market)</w:t>
      </w:r>
    </w:p>
    <w:p>
      <w:pPr>
        <w:numPr>
          <w:ilvl w:val="0"/>
          <w:numId w:val="1008"/>
        </w:numPr>
        <w:pStyle w:val="Compact"/>
      </w:pPr>
      <w:r>
        <w:rPr>
          <w:bCs/>
          <w:b/>
        </w:rPr>
        <w:t xml:space="preserve">Cultural Alignment Index:</w:t>
      </w:r>
      <w:r>
        <w:t xml:space="preserve"> </w:t>
      </w:r>
      <w:r>
        <w:t xml:space="preserve">Patient survey score on "feeling understood as a Moscow resident" (Target: 8.5/10)</w:t>
      </w:r>
    </w:p>
    <w:bookmarkEnd w:id="31"/>
    <w:bookmarkStart w:id="32" w:name="conclusion"/>
    <w:p>
      <w:pPr>
        <w:pStyle w:val="Heading2"/>
      </w:pPr>
      <w:r>
        <w:t xml:space="preserve">Conclusion</w:t>
      </w:r>
    </w:p>
    <w:p>
      <w:pPr>
        <w:pStyle w:val="FirstParagraph"/>
      </w:pPr>
      <w:r>
        <w:t xml:space="preserve">This Marketing Plan establishes a robust framework for our optometrist practice to dominate the Russia Moscow eye care market through culturally attuned positioning, technology integration, and community-centric service design. By addressing Moscow's specific challenges – from digital eye strain in business districts to vision health among seniors – we will transform routine eye exams into essential health partnerships. The plan ensures every strategy leverages Russia's unique market dynamics while delivering measurable patient outcomes that build lasting brand loyalty. With precise targeting of Moscow's high-value segments and localized execution, this practice will become synonymous with trusted vision care across the Russian capital within three years.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Russia Moscow</dc:title>
  <dc:creator/>
  <dc:language>en</dc:language>
  <cp:keywords/>
  <dcterms:created xsi:type="dcterms:W3CDTF">2026-07-21T04:59:01Z</dcterms:created>
  <dcterms:modified xsi:type="dcterms:W3CDTF">2026-07-21T04:59:01Z</dcterms:modified>
</cp:coreProperties>
</file>

<file path=docProps/custom.xml><?xml version="1.0" encoding="utf-8"?>
<Properties xmlns="http://schemas.openxmlformats.org/officeDocument/2006/custom-properties" xmlns:vt="http://schemas.openxmlformats.org/officeDocument/2006/docPropsVTypes"/>
</file>