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Singapore</w:t>
      </w:r>
    </w:p>
    <w:bookmarkStart w:id="32" w:name="X289aec5d5b2e97d454a10b379a0c1d505ae229d"/>
    <w:p>
      <w:pPr>
        <w:pStyle w:val="Heading1"/>
      </w:pPr>
      <w:r>
        <w:t xml:space="preserve">Comprehensive Marketing Plan for Premium Optometrist Services in Singapore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optometrist practice within the competitive healthcare landscape of Singapore. As an essential healthcare provider specializing in comprehensive eye care, our practice will leverage Singapore's unique demographic trends, technological advancements, and cultural nuances to become the trusted optometrist destination for residents across all age groups. This document details targeted strategies to capture market share while emphasizing patient-centric care that aligns with Singapore's high standards of medical excellence.</w:t>
      </w:r>
    </w:p>
    <w:bookmarkEnd w:id="20"/>
    <w:bookmarkStart w:id="21" w:name="X0ec9006013f4dade8f109e3acde95cd96a3af7d"/>
    <w:p>
      <w:pPr>
        <w:pStyle w:val="Heading2"/>
      </w:pPr>
      <w:r>
        <w:t xml:space="preserve">Market Analysis: Eye Care Landscape in Singapore</w:t>
      </w:r>
    </w:p>
    <w:p>
      <w:pPr>
        <w:pStyle w:val="FirstParagraph"/>
      </w:pPr>
      <w:r>
        <w:t xml:space="preserve">Singapore faces a growing eye health crisis, with myopia prevalence reaching 60% among schoolchildren and 80% among university students (Singapore National Eye Centre, 2023). The aging population (19.5% aged 65+ by 2030) further drives demand for cataract screenings and diabetic retinopathy management. Despite this, the optometrist market remains underserved in specialized pediatric care and advanced diagnostics. Competitors often lack integrated technology platforms, creating a critical gap our practice will address. As Singapore's healthcare ecosystem prioritizes preventive care under the National Eye Health Programme, our Marketing Plan strategically positions us as an innovative partner in national health goals.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Singapore:</w:t>
      </w:r>
    </w:p>
    <w:p>
      <w:pPr>
        <w:numPr>
          <w:ilvl w:val="0"/>
          <w:numId w:val="1001"/>
        </w:numPr>
        <w:pStyle w:val="Compact"/>
      </w:pPr>
      <w:r>
        <w:rPr>
          <w:bCs/>
          <w:b/>
        </w:rPr>
        <w:t xml:space="preserve">Parents of School-Aged Children (5-18 years):</w:t>
      </w:r>
      <w:r>
        <w:t xml:space="preserve"> </w:t>
      </w:r>
      <w:r>
        <w:t xml:space="preserve">Targeted through schools and parenting groups with myopia management programs, addressing Singapore's top health concern for youth.</w:t>
      </w:r>
    </w:p>
    <w:p>
      <w:pPr>
        <w:numPr>
          <w:ilvl w:val="0"/>
          <w:numId w:val="1001"/>
        </w:numPr>
        <w:pStyle w:val="Compact"/>
      </w:pPr>
      <w:r>
        <w:rPr>
          <w:bCs/>
          <w:b/>
        </w:rPr>
        <w:t xml:space="preserve">Senior Citizens (60+ years):</w:t>
      </w:r>
      <w:r>
        <w:t xml:space="preserve"> </w:t>
      </w:r>
      <w:r>
        <w:t xml:space="preserve">Partnering with senior care centers for free diabetic eye screenings during National Senior Day events across Singapore.</w:t>
      </w:r>
    </w:p>
    <w:bookmarkEnd w:id="22"/>
    <w:bookmarkStart w:id="23" w:name="X57e55c7d60ca80624c51aba0a18b7822ed1e61c"/>
    <w:p>
      <w:pPr>
        <w:pStyle w:val="Heading2"/>
      </w:pPr>
      <w:r>
        <w:t xml:space="preserve">Unique Value Propositions for Singapore Context</w:t>
      </w:r>
    </w:p>
    <w:p>
      <w:pPr>
        <w:pStyle w:val="FirstParagraph"/>
      </w:pPr>
      <w:r>
        <w:t xml:space="preserve">Our optometrist practice differentiates through three pillars uniquely relevant to Singaporean patients:</w:t>
      </w:r>
    </w:p>
    <w:p>
      <w:pPr>
        <w:numPr>
          <w:ilvl w:val="0"/>
          <w:numId w:val="1002"/>
        </w:numPr>
        <w:pStyle w:val="Compact"/>
      </w:pPr>
      <w:r>
        <w:rPr>
          <w:bCs/>
          <w:b/>
        </w:rPr>
        <w:t xml:space="preserve">AI-Powered Myopia Management:</w:t>
      </w:r>
      <w:r>
        <w:t xml:space="preserve"> </w:t>
      </w:r>
      <w:r>
        <w:t xml:space="preserve">Utilizing Singapore-approved AI tools (validated by NEI) to predict progression, a solution tailored to local myopia epidemic.</w:t>
      </w:r>
    </w:p>
    <w:p>
      <w:pPr>
        <w:numPr>
          <w:ilvl w:val="0"/>
          <w:numId w:val="1002"/>
        </w:numPr>
        <w:pStyle w:val="Compact"/>
      </w:pPr>
      <w:r>
        <w:rPr>
          <w:bCs/>
          <w:b/>
        </w:rPr>
        <w:t xml:space="preserve">Clinical Integration with National Health Network:</w:t>
      </w:r>
      <w:r>
        <w:t xml:space="preserve"> </w:t>
      </w:r>
      <w:r>
        <w:t xml:space="preserve">Seamless referrals to Singapore General Hospital and NUH for complex cases, aligning with MOH's integrated care vision.</w:t>
      </w:r>
    </w:p>
    <w:p>
      <w:pPr>
        <w:numPr>
          <w:ilvl w:val="0"/>
          <w:numId w:val="1002"/>
        </w:numPr>
        <w:pStyle w:val="Compact"/>
      </w:pPr>
      <w:r>
        <w:rPr>
          <w:bCs/>
          <w:b/>
        </w:rPr>
        <w:t xml:space="preserve">Cultural Sensitivity in Care:</w:t>
      </w:r>
      <w:r>
        <w:t xml:space="preserve"> </w:t>
      </w:r>
      <w:r>
        <w:t xml:space="preserve">Bilingual (English/Mandarin) optometrists trained in Singaporean cultural nuances for enhanced patient trust during consultations.</w:t>
      </w:r>
    </w:p>
    <w:bookmarkEnd w:id="23"/>
    <w:bookmarkStart w:id="27" w:name="X9c89e41291f0824ffc54c5b5063c18118507482"/>
    <w:p>
      <w:pPr>
        <w:pStyle w:val="Heading2"/>
      </w:pPr>
      <w:r>
        <w:t xml:space="preserve">Marketing Strategy: Multi-Channel Approach for Singapore</w:t>
      </w:r>
    </w:p>
    <w:p>
      <w:pPr>
        <w:pStyle w:val="FirstParagraph"/>
      </w:pPr>
      <w:r>
        <w:t xml:space="preserve">Our Marketing Plan employs a hyper-localized strategy across digital and physical channels:</w:t>
      </w:r>
    </w:p>
    <w:bookmarkStart w:id="24" w:name="digital-marketing-60-budget-allocation"/>
    <w:p>
      <w:pPr>
        <w:pStyle w:val="Heading3"/>
      </w:pPr>
      <w:r>
        <w:t xml:space="preserve">Digital Marketing (60% Budget Allocation)</w:t>
      </w:r>
    </w:p>
    <w:p>
      <w:pPr>
        <w:numPr>
          <w:ilvl w:val="0"/>
          <w:numId w:val="1003"/>
        </w:numPr>
        <w:pStyle w:val="Compact"/>
      </w:pPr>
      <w:r>
        <w:rPr>
          <w:bCs/>
          <w:b/>
        </w:rPr>
        <w:t xml:space="preserve">SEO/SEM for "optometrist in Singapore":</w:t>
      </w:r>
      <w:r>
        <w:t xml:space="preserve"> </w:t>
      </w:r>
      <w:r>
        <w:t xml:space="preserve">Targeting high-intent keywords with content about Singapore-specific eye health topics (e.g., "myopia control clinics near Orchard Road").</w:t>
      </w:r>
    </w:p>
    <w:p>
      <w:pPr>
        <w:numPr>
          <w:ilvl w:val="0"/>
          <w:numId w:val="1003"/>
        </w:numPr>
        <w:pStyle w:val="Compact"/>
      </w:pPr>
      <w:r>
        <w:rPr>
          <w:bCs/>
          <w:b/>
        </w:rPr>
        <w:t xml:space="preserve">Social Media Campaigns:</w:t>
      </w:r>
      <w:r>
        <w:t xml:space="preserve"> </w:t>
      </w:r>
      <w:r>
        <w:t xml:space="preserve">TikTok/Instagram shorts featuring optometrists explaining eye conditions prevalent in Singaporeans (e.g., "Why Singapores' humidity affects your eyes?") with #OptometrySG hashtag.</w:t>
      </w:r>
    </w:p>
    <w:p>
      <w:pPr>
        <w:numPr>
          <w:ilvl w:val="0"/>
          <w:numId w:val="1003"/>
        </w:numPr>
        <w:pStyle w:val="Compact"/>
      </w:pPr>
      <w:r>
        <w:rPr>
          <w:bCs/>
          <w:b/>
        </w:rPr>
        <w:t xml:space="preserve">Google My Business Optimization:</w:t>
      </w:r>
      <w:r>
        <w:t xml:space="preserve"> </w:t>
      </w:r>
      <w:r>
        <w:t xml:space="preserve">Ensuring accurate NAP (Name, Address, Phone) across all Singapore platforms with 24/7 appointment booking integration.</w:t>
      </w:r>
    </w:p>
    <w:bookmarkEnd w:id="24"/>
    <w:bookmarkStart w:id="25" w:name="X6b9c840c44860ef0cfd3303a9671fd10a405454"/>
    <w:p>
      <w:pPr>
        <w:pStyle w:val="Heading3"/>
      </w:pPr>
      <w:r>
        <w:t xml:space="preserve">Community Engagement (25% Budget Allocation)</w:t>
      </w:r>
    </w:p>
    <w:p>
      <w:pPr>
        <w:numPr>
          <w:ilvl w:val="0"/>
          <w:numId w:val="1004"/>
        </w:numPr>
        <w:pStyle w:val="Compact"/>
      </w:pPr>
      <w:r>
        <w:rPr>
          <w:bCs/>
          <w:b/>
        </w:rPr>
        <w:t xml:space="preserve">School Partnerships:</w:t>
      </w:r>
      <w:r>
        <w:t xml:space="preserve"> </w:t>
      </w:r>
      <w:r>
        <w:t xml:space="preserve">Free vision screenings at MCEs and primary schools, collaborating with MOE on National Eye Health Week.</w:t>
      </w:r>
    </w:p>
    <w:p>
      <w:pPr>
        <w:numPr>
          <w:ilvl w:val="0"/>
          <w:numId w:val="1004"/>
        </w:numPr>
        <w:pStyle w:val="Compact"/>
      </w:pPr>
      <w:r>
        <w:rPr>
          <w:bCs/>
          <w:b/>
        </w:rPr>
        <w:t xml:space="preserve">Senior Care Collaborations:</w:t>
      </w:r>
      <w:r>
        <w:t xml:space="preserve"> </w:t>
      </w:r>
      <w:r>
        <w:t xml:space="preserve">Monthly "Eye Health Talks" at CHAS clinics across Jurong East and Tampines.</w:t>
      </w:r>
    </w:p>
    <w:p>
      <w:pPr>
        <w:numPr>
          <w:ilvl w:val="0"/>
          <w:numId w:val="1004"/>
        </w:numPr>
        <w:pStyle w:val="Compact"/>
      </w:pPr>
      <w:r>
        <w:rPr>
          <w:bCs/>
          <w:b/>
        </w:rPr>
        <w:t xml:space="preserve">Sponsorships:</w:t>
      </w:r>
      <w:r>
        <w:t xml:space="preserve"> </w:t>
      </w:r>
      <w:r>
        <w:t xml:space="preserve">Supporting Singapore Sports School athletes for vision assessments, aligning with national sports health initiatives.</w:t>
      </w:r>
    </w:p>
    <w:bookmarkEnd w:id="25"/>
    <w:bookmarkStart w:id="26" w:name="X598ed03ab50ae8d27e9e141d0de2e2f190b4432"/>
    <w:p>
      <w:pPr>
        <w:pStyle w:val="Heading3"/>
      </w:pPr>
      <w:r>
        <w:t xml:space="preserve">Strategic Partnerships (15% Budget Allocation)</w:t>
      </w:r>
    </w:p>
    <w:p>
      <w:pPr>
        <w:numPr>
          <w:ilvl w:val="0"/>
          <w:numId w:val="1005"/>
        </w:numPr>
        <w:pStyle w:val="Compact"/>
      </w:pPr>
      <w:r>
        <w:rPr>
          <w:bCs/>
          <w:b/>
        </w:rPr>
        <w:t xml:space="preserve">Corporate Wellness Programs:</w:t>
      </w:r>
      <w:r>
        <w:t xml:space="preserve"> </w:t>
      </w:r>
      <w:r>
        <w:t xml:space="preserve">On-site eye check-ups for companies like Grab and Singtel under their employee benefits schemes.</w:t>
      </w:r>
    </w:p>
    <w:p>
      <w:pPr>
        <w:numPr>
          <w:ilvl w:val="0"/>
          <w:numId w:val="1005"/>
        </w:numPr>
        <w:pStyle w:val="Compact"/>
      </w:pPr>
      <w:r>
        <w:rPr>
          <w:bCs/>
          <w:b/>
        </w:rPr>
        <w:t xml:space="preserve">Dental &amp; ENT Clinics:</w:t>
      </w:r>
      <w:r>
        <w:t xml:space="preserve"> </w:t>
      </w:r>
      <w:r>
        <w:t xml:space="preserve">Cross-referrals with dental practices in Singapore (e.g., Parkview Dental) where oral health impacts ocular wellness.</w:t>
      </w:r>
    </w:p>
    <w:bookmarkEnd w:id="26"/>
    <w:bookmarkEnd w:id="27"/>
    <w:bookmarkStart w:id="28" w:name="implementation-timeline"/>
    <w:p>
      <w:pPr>
        <w:pStyle w:val="Heading2"/>
      </w:pPr>
      <w:r>
        <w:t xml:space="preserve">Implementation Timeline</w:t>
      </w:r>
    </w:p>
    <w:p>
      <w:pPr>
        <w:pStyle w:val="FirstParagraph"/>
      </w:pPr>
      <w:r>
        <w:t xml:space="preserve">Phase 1 (Months 1-3): Launch digital assets and secure MOE school partnerships. Establish AI diagnostic system certified by HDB's Health Technology Assessment panel.</w:t>
      </w:r>
    </w:p>
    <w:p>
      <w:pPr>
        <w:pStyle w:val="BodyText"/>
      </w:pPr>
      <w:r>
        <w:t xml:space="preserve">Phase 2 (Months 4-6): Roll out senior care programs across five HDB towns; initiate corporate wellness contracts.</w:t>
      </w:r>
    </w:p>
    <w:p>
      <w:pPr>
        <w:pStyle w:val="BodyText"/>
      </w:pPr>
      <w:r>
        <w:t xml:space="preserve">Phase 3 (Months 7-12): Expand to secondary school screenings; launch "Myopia Control for Singapore Kids" subscription model with parental app tracking.</w:t>
      </w:r>
    </w:p>
    <w:bookmarkEnd w:id="28"/>
    <w:bookmarkStart w:id="29" w:name="performance-metrics-budget"/>
    <w:p>
      <w:pPr>
        <w:pStyle w:val="Heading2"/>
      </w:pPr>
      <w:r>
        <w:t xml:space="preserve">Performance Metrics &amp; Budget</w:t>
      </w:r>
    </w:p>
    <w:p>
      <w:pPr>
        <w:pStyle w:val="FirstParagraph"/>
      </w:pPr>
      <w:r>
        <w:t xml:space="preserve">We allocate S$185,000 for Year 1 marketing, measured against:</w:t>
      </w:r>
    </w:p>
    <w:p>
      <w:pPr>
        <w:numPr>
          <w:ilvl w:val="0"/>
          <w:numId w:val="1006"/>
        </w:numPr>
        <w:pStyle w:val="Compact"/>
      </w:pPr>
      <w:r>
        <w:rPr>
          <w:bCs/>
          <w:b/>
        </w:rPr>
        <w:t xml:space="preserve">Lead Generation:</w:t>
      </w:r>
      <w:r>
        <w:t xml:space="preserve"> </w:t>
      </w:r>
      <w:r>
        <w:t xml:space="preserve">35% increase in appointment bookings from digital campaigns (tracked via Google Analytics).</w:t>
      </w:r>
    </w:p>
    <w:p>
      <w:pPr>
        <w:numPr>
          <w:ilvl w:val="0"/>
          <w:numId w:val="1006"/>
        </w:numPr>
        <w:pStyle w:val="Compact"/>
      </w:pPr>
      <w:r>
        <w:rPr>
          <w:bCs/>
          <w:b/>
        </w:rPr>
        <w:t xml:space="preserve">Community Impact:</w:t>
      </w:r>
      <w:r>
        <w:t xml:space="preserve"> </w:t>
      </w:r>
      <w:r>
        <w:t xml:space="preserve">Screen 12,000 Singapore residents at schools/senior centers by Year-end.</w:t>
      </w:r>
    </w:p>
    <w:p>
      <w:pPr>
        <w:numPr>
          <w:ilvl w:val="0"/>
          <w:numId w:val="1006"/>
        </w:numPr>
        <w:pStyle w:val="Compact"/>
      </w:pPr>
      <w:r>
        <w:rPr>
          <w:bCs/>
          <w:b/>
        </w:rPr>
        <w:t xml:space="preserve">Clinical Outcomes:</w:t>
      </w:r>
      <w:r>
        <w:t xml:space="preserve"> </w:t>
      </w:r>
      <w:r>
        <w:t xml:space="preserve">Achieve 95% patient satisfaction score (vs. industry avg. 82%) on MOH's Quality of Care Index.</w:t>
      </w:r>
    </w:p>
    <w:p>
      <w:pPr>
        <w:pStyle w:val="FirstParagraph"/>
      </w:pPr>
      <w:r>
        <w:t xml:space="preserve">Budget breakdown: Digital (S$110k), Community Events (S$46k), Partnerships (S$29k), Analytics Tools (S$0). All costs optimized for Singapore's cost structure, avoiding overseas advertising expenses.</w:t>
      </w:r>
    </w:p>
    <w:bookmarkEnd w:id="29"/>
    <w:bookmarkStart w:id="30" w:name="compliance-risk-mitigation"/>
    <w:p>
      <w:pPr>
        <w:pStyle w:val="Heading2"/>
      </w:pPr>
      <w:r>
        <w:t xml:space="preserve">Compliance &amp; Risk Mitigation</w:t>
      </w:r>
    </w:p>
    <w:p>
      <w:pPr>
        <w:pStyle w:val="FirstParagraph"/>
      </w:pPr>
      <w:r>
        <w:t xml:space="preserve">All Marketing Plan activities strictly adhere to Singapore's PDPA and HSA guidelines. We maintain regular audits with the Health Sciences Authority to ensure promotional materials avoid unsubstantiated claims. Crisis protocol includes immediate review of all social media content by our optometrist lead before posting, ensuring alignment with Singapore's healthcare advertising standards.</w:t>
      </w:r>
    </w:p>
    <w:bookmarkEnd w:id="30"/>
    <w:bookmarkStart w:id="31" w:name="Xe01d7e91398e707fa91f89cf0acf7ddde4d7eb6"/>
    <w:p>
      <w:pPr>
        <w:pStyle w:val="Heading2"/>
      </w:pPr>
      <w:r>
        <w:t xml:space="preserve">Conclusion: Becoming Singapore's Optometrist Leader</w:t>
      </w:r>
    </w:p>
    <w:p>
      <w:pPr>
        <w:pStyle w:val="FirstParagraph"/>
      </w:pPr>
      <w:r>
        <w:t xml:space="preserve">This Marketing Plan positions our optometrist practice not merely as a service provider but as an essential community health partner within Singapore's evolving healthcare ecosystem. By focusing on locally relevant solutions for myopia, aging eyes, and digital eye strain—backed by technology approved by Singapore's medical authorities—we will establish enduring patient relationships. The strategy leverages Singapore's national health priorities to transform our practice into the gold standard for optometrist care across all precincts from Sengkang to Sentosa. Our commitment is simple: every Singaporean deserves clear vision, and this Marketing Plan delivers that promise through data-driven, culturally attuned service excellence.</w:t>
      </w:r>
    </w:p>
    <w:p>
      <w:pPr>
        <w:pStyle w:val="BodyText"/>
      </w:pPr>
      <w:r>
        <w:rPr>
          <w:bCs/>
          <w:b/>
        </w:rPr>
        <w:t xml:space="preserve">Marketing Plan</w:t>
      </w:r>
      <w:r>
        <w:t xml:space="preserve">,</w:t>
      </w:r>
      <w:r>
        <w:t xml:space="preserve"> </w:t>
      </w:r>
      <w:r>
        <w:rPr>
          <w:bCs/>
          <w:b/>
        </w:rPr>
        <w:t xml:space="preserve">Optometrist</w:t>
      </w:r>
      <w:r>
        <w:t xml:space="preserve">, and</w:t>
      </w:r>
      <w:r>
        <w:t xml:space="preserve"> </w:t>
      </w:r>
      <w:r>
        <w:rPr>
          <w:bCs/>
          <w:b/>
        </w:rPr>
        <w:t xml:space="preserve">Singapore</w:t>
      </w:r>
      <w:r>
        <w:t xml:space="preserve"> </w:t>
      </w:r>
      <w:r>
        <w:t xml:space="preserve">are not merely keywords in this document—they form the foundation of our mission to elevate eye care standards across Singapore. As Singapore continues its journey toward becoming a global health hub, our practice will be at the forefront, proving that exceptional optometrist services are both locally relevant and internationally benchmarked.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Singapore</dc:title>
  <dc:creator/>
  <dc:language>en</dc:language>
  <cp:keywords/>
  <dcterms:created xsi:type="dcterms:W3CDTF">2026-07-23T11:37:45Z</dcterms:created>
  <dcterms:modified xsi:type="dcterms:W3CDTF">2026-07-23T11:37:45Z</dcterms:modified>
</cp:coreProperties>
</file>

<file path=docProps/custom.xml><?xml version="1.0" encoding="utf-8"?>
<Properties xmlns="http://schemas.openxmlformats.org/officeDocument/2006/custom-properties" xmlns:vt="http://schemas.openxmlformats.org/officeDocument/2006/docPropsVTypes"/>
</file>