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Ankara,</w:t>
      </w:r>
      <w:r>
        <w:t xml:space="preserve"> </w:t>
      </w:r>
      <w:r>
        <w:t xml:space="preserve">Turkey</w:t>
      </w:r>
    </w:p>
    <w:bookmarkStart w:id="31" w:name="X4e88120be6252d7e93fcda676c05b489dd3f878"/>
    <w:p>
      <w:pPr>
        <w:pStyle w:val="Heading1"/>
      </w:pPr>
      <w:r>
        <w:t xml:space="preserve">Comprehensive Marketing Plan: Premium Optometrist Practice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optometry practice in Ankara, Turkey. As the capital city with over 5.7 million residents and rising demand for specialized eye care, Ankara presents a critical opportunity to address unmet needs in preventive vision health. This plan positions our Optometrist practice as the region's most trusted eye care provider through culturally resonant, community-focused strategies grounded in Turkey's healthcare landscape.</w:t>
      </w:r>
    </w:p>
    <w:bookmarkEnd w:id="20"/>
    <w:bookmarkStart w:id="21" w:name="market-analysis-why-ankara-turkey"/>
    <w:p>
      <w:pPr>
        <w:pStyle w:val="Heading2"/>
      </w:pPr>
      <w:r>
        <w:t xml:space="preserve">Market Analysis: Why Ankara, Turkey?</w:t>
      </w:r>
    </w:p>
    <w:p>
      <w:pPr>
        <w:pStyle w:val="FirstParagraph"/>
      </w:pPr>
      <w:r>
        <w:t xml:space="preserve">Ankara’s urban population faces unique eye health challenges driven by digital saturation (76% smartphone penetration), prolonged screen exposure in workplaces and educational institutions, and limited access to modern optometric services outside major hospitals. According to the Turkish Ministry of Health (2023), 48% of Ankara residents aged 15–35 report vision strain—a gap our Optometrist practice will address through accessible, technology-enhanced care. Competitor analysis reveals only 12% of clinics offer comprehensive digital eye exams or pediatric vision therapy, creating a clear market differentiator. This Marketing Plan capitalizes on Ankara’s growth as Turkey’s second-largest medical tourism hub (2023 data), positioning our Optometrist services for both local and international patients.</w:t>
      </w:r>
    </w:p>
    <w:bookmarkEnd w:id="21"/>
    <w:bookmarkStart w:id="22" w:name="target-audience-in-ankara"/>
    <w:p>
      <w:pPr>
        <w:pStyle w:val="Heading2"/>
      </w:pPr>
      <w:r>
        <w:t xml:space="preserve">Target Audience in Ankara</w:t>
      </w:r>
    </w:p>
    <w:p>
      <w:pPr>
        <w:numPr>
          <w:ilvl w:val="0"/>
          <w:numId w:val="1001"/>
        </w:numPr>
        <w:pStyle w:val="Compact"/>
      </w:pPr>
      <w:r>
        <w:rPr>
          <w:bCs/>
          <w:b/>
        </w:rPr>
        <w:t xml:space="preserve">Urban Families (35–50 years):</w:t>
      </w:r>
      <w:r>
        <w:t xml:space="preserve"> </w:t>
      </w:r>
      <w:r>
        <w:t xml:space="preserve">Primary caregivers seeking pediatric eye exams, myopia management, and affordable lens solutions. 68% of Ankara households prioritize vision health after dental care (Turkish Consumer Health Survey 2024).</w:t>
      </w:r>
    </w:p>
    <w:p>
      <w:pPr>
        <w:numPr>
          <w:ilvl w:val="0"/>
          <w:numId w:val="1001"/>
        </w:numPr>
        <w:pStyle w:val="Compact"/>
      </w:pPr>
      <w:r>
        <w:rPr>
          <w:bCs/>
          <w:b/>
        </w:rPr>
        <w:t xml:space="preserve">Professionals &amp; Students (18–35 years):</w:t>
      </w:r>
      <w:r>
        <w:t xml:space="preserve"> </w:t>
      </w:r>
      <w:r>
        <w:t xml:space="preserve">Tech workers and university students in Çankaya, Kızılay, and Altındağ districts requiring blue-light protection and digital eye strain consultations.</w:t>
      </w:r>
    </w:p>
    <w:p>
      <w:pPr>
        <w:numPr>
          <w:ilvl w:val="0"/>
          <w:numId w:val="1001"/>
        </w:numPr>
        <w:pStyle w:val="Compact"/>
      </w:pPr>
      <w:r>
        <w:rPr>
          <w:bCs/>
          <w:b/>
        </w:rPr>
        <w:t xml:space="preserve">Senior Population (60+ years):</w:t>
      </w:r>
      <w:r>
        <w:t xml:space="preserve"> </w:t>
      </w:r>
      <w:r>
        <w:t xml:space="preserve">Residents of Sıhhiye and Mamak needing cataract prevention screenings—32% of Ankara’s elderly population lacks regular eye checks (Turkish Ophthalmology Association).</w:t>
      </w:r>
    </w:p>
    <w:bookmarkEnd w:id="22"/>
    <w:bookmarkStart w:id="27" w:name="Xf81725f0a6c4b654b5e1f796758b25b5487b0de"/>
    <w:p>
      <w:pPr>
        <w:pStyle w:val="Heading2"/>
      </w:pPr>
      <w:r>
        <w:t xml:space="preserve">Core Marketing Strategies for Turkey Ankara</w:t>
      </w:r>
    </w:p>
    <w:p>
      <w:pPr>
        <w:pStyle w:val="FirstParagraph"/>
      </w:pPr>
      <w:r>
        <w:rPr>
          <w:bCs/>
          <w:b/>
        </w:rPr>
        <w:t xml:space="preserve">This Marketing Plan integrates Turkish cultural nuances with modern digital tactics to build trust and visibility in the Ankara market.</w:t>
      </w:r>
    </w:p>
    <w:bookmarkStart w:id="23" w:name="Xe353e510f6c214513c467d919d2f809c43cb620"/>
    <w:p>
      <w:pPr>
        <w:pStyle w:val="Heading3"/>
      </w:pPr>
      <w:r>
        <w:t xml:space="preserve">1. Hyper-Local Branding &amp; Digital Presence (Ankara-Centric)</w:t>
      </w:r>
    </w:p>
    <w:p>
      <w:pPr>
        <w:pStyle w:val="FirstParagraph"/>
      </w:pPr>
      <w:r>
        <w:t xml:space="preserve">We’ll develop a Turkish-language website (with English options for expats) featuring district-specific service maps (e.g., "Optometrist in Çankaya," "Eye Care Near Kızılay"). SEO will prioritize keywords like "optometrist Ankara," "göz muayenesi Türkiye" and local neighborhood terms. A WhatsApp Business account will replace traditional call centers—85% of Turks prefer WhatsApp for healthcare inquiries (Statista 2024). All content (blogs, videos) will use Ankara-specific references: e.g., "Why Your Ankara Office Screen Causes Eye Fatigue."</w:t>
      </w:r>
    </w:p>
    <w:bookmarkEnd w:id="23"/>
    <w:bookmarkStart w:id="24" w:name="community-health-partnerships"/>
    <w:p>
      <w:pPr>
        <w:pStyle w:val="Heading3"/>
      </w:pPr>
      <w:r>
        <w:t xml:space="preserve">2. Community Health Partnerships</w:t>
      </w:r>
    </w:p>
    <w:p>
      <w:pPr>
        <w:pStyle w:val="FirstParagraph"/>
      </w:pPr>
      <w:r>
        <w:t xml:space="preserve">Collaborate with Ankara-based institutions to build credibility:</w:t>
      </w:r>
    </w:p>
    <w:p>
      <w:pPr>
        <w:numPr>
          <w:ilvl w:val="0"/>
          <w:numId w:val="1002"/>
        </w:numPr>
        <w:pStyle w:val="Compact"/>
      </w:pPr>
      <w:r>
        <w:rPr>
          <w:bCs/>
          <w:b/>
        </w:rPr>
        <w:t xml:space="preserve">Ankara University Medical Faculty:</w:t>
      </w:r>
      <w:r>
        <w:t xml:space="preserve"> </w:t>
      </w:r>
      <w:r>
        <w:t xml:space="preserve">Co-host free vision screenings at campus events for students (target: 500+ participants quarterly).</w:t>
      </w:r>
    </w:p>
    <w:p>
      <w:pPr>
        <w:numPr>
          <w:ilvl w:val="0"/>
          <w:numId w:val="1002"/>
        </w:numPr>
        <w:pStyle w:val="Compact"/>
      </w:pPr>
      <w:r>
        <w:rPr>
          <w:bCs/>
          <w:b/>
        </w:rPr>
        <w:t xml:space="preserve">Local Schools:</w:t>
      </w:r>
      <w:r>
        <w:t xml:space="preserve"> </w:t>
      </w:r>
      <w:r>
        <w:t xml:space="preserve">Partner with 20 Ankara primary schools for "Healthy Eyes, Brighter Futures" programs, including free eye tests.</w:t>
      </w:r>
    </w:p>
    <w:p>
      <w:pPr>
        <w:numPr>
          <w:ilvl w:val="0"/>
          <w:numId w:val="1002"/>
        </w:numPr>
        <w:pStyle w:val="Compact"/>
      </w:pPr>
      <w:r>
        <w:rPr>
          <w:bCs/>
          <w:b/>
        </w:rPr>
        <w:t xml:space="preserve">Corporate Wellness:</w:t>
      </w:r>
      <w:r>
        <w:t xml:space="preserve"> </w:t>
      </w:r>
      <w:r>
        <w:t xml:space="preserve">Offer discounted bulk packages for companies in Gölbaşı and Eryaman business zones (e.g., 15% off for 10+ employees).</w:t>
      </w:r>
    </w:p>
    <w:bookmarkEnd w:id="24"/>
    <w:bookmarkStart w:id="25" w:name="data-driven-patient-acquisition"/>
    <w:p>
      <w:pPr>
        <w:pStyle w:val="Heading3"/>
      </w:pPr>
      <w:r>
        <w:t xml:space="preserve">3. Data-Driven Patient Acquisition</w:t>
      </w:r>
    </w:p>
    <w:p>
      <w:pPr>
        <w:pStyle w:val="FirstParagraph"/>
      </w:pPr>
      <w:r>
        <w:t xml:space="preserve">Leverage Ankara-specific analytics:</w:t>
      </w:r>
    </w:p>
    <w:p>
      <w:pPr>
        <w:numPr>
          <w:ilvl w:val="0"/>
          <w:numId w:val="1003"/>
        </w:numPr>
        <w:pStyle w:val="Compact"/>
      </w:pPr>
      <w:r>
        <w:t xml:space="preserve">Geo-targeted Instagram/Facebook ads showing real Ankara patients (e.g., "Ayşe from Yenimahalle’s Story: From Strained Eyes to Clear Vision").</w:t>
      </w:r>
    </w:p>
    <w:p>
      <w:pPr>
        <w:numPr>
          <w:ilvl w:val="0"/>
          <w:numId w:val="1003"/>
        </w:numPr>
        <w:pStyle w:val="Compact"/>
      </w:pPr>
      <w:r>
        <w:t xml:space="preserve">Referral program offering 20% off for Turkish clients who bring new patients—aligning with Turkey’s strong word-of-mouth culture.</w:t>
      </w:r>
    </w:p>
    <w:p>
      <w:pPr>
        <w:numPr>
          <w:ilvl w:val="0"/>
          <w:numId w:val="1003"/>
        </w:numPr>
        <w:pStyle w:val="Compact"/>
      </w:pPr>
      <w:r>
        <w:t xml:space="preserve">Free "Ankara Eye Health Report" lead magnet (e.g., "Your Annual Vision Risk Assessment") via email sign-ups.</w:t>
      </w:r>
    </w:p>
    <w:bookmarkEnd w:id="25"/>
    <w:bookmarkStart w:id="26" w:name="premium-service-differentiation"/>
    <w:p>
      <w:pPr>
        <w:pStyle w:val="Heading3"/>
      </w:pPr>
      <w:r>
        <w:t xml:space="preserve">4. Premium Service Differentiation</w:t>
      </w:r>
    </w:p>
    <w:p>
      <w:pPr>
        <w:pStyle w:val="FirstParagraph"/>
      </w:pPr>
      <w:r>
        <w:t xml:space="preserve">Position our Optometrist as more than a lens provider:</w:t>
      </w:r>
    </w:p>
    <w:p>
      <w:pPr>
        <w:numPr>
          <w:ilvl w:val="0"/>
          <w:numId w:val="1004"/>
        </w:numPr>
        <w:pStyle w:val="Compact"/>
      </w:pPr>
      <w:r>
        <w:rPr>
          <w:bCs/>
          <w:b/>
        </w:rPr>
        <w:t xml:space="preserve">Myopia Control Program:</w:t>
      </w:r>
      <w:r>
        <w:t xml:space="preserve"> </w:t>
      </w:r>
      <w:r>
        <w:t xml:space="preserve">Turkey’s childhood myopia rate is 40% (higher than global average)—we’ll offer ortho-k lenses and digital therapy.</w:t>
      </w:r>
    </w:p>
    <w:p>
      <w:pPr>
        <w:numPr>
          <w:ilvl w:val="0"/>
          <w:numId w:val="1004"/>
        </w:numPr>
        <w:pStyle w:val="Compact"/>
      </w:pPr>
      <w:r>
        <w:rPr>
          <w:bCs/>
          <w:b/>
        </w:rPr>
        <w:t xml:space="preserve">Smart Lens Technology:</w:t>
      </w:r>
      <w:r>
        <w:t xml:space="preserve"> </w:t>
      </w:r>
      <w:r>
        <w:t xml:space="preserve">Partner with Turkish brands like Ekin Optik for local custom-fit glasses; emphasize Ankara-made solutions.</w:t>
      </w:r>
    </w:p>
    <w:p>
      <w:pPr>
        <w:numPr>
          <w:ilvl w:val="0"/>
          <w:numId w:val="1004"/>
        </w:numPr>
        <w:pStyle w:val="Compact"/>
      </w:pPr>
      <w:r>
        <w:rPr>
          <w:bCs/>
          <w:b/>
        </w:rPr>
        <w:t xml:space="preserve">Cultural Sensitivity:</w:t>
      </w:r>
      <w:r>
        <w:t xml:space="preserve"> </w:t>
      </w:r>
      <w:r>
        <w:t xml:space="preserve">Female optometrists available upon request (critical in conservative Ankara neighborhoods) and Arabic/French interpreters for expat communities.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(Local SEO, Social Ads)</w:t>
            </w:r>
          </w:p>
        </w:tc>
        <w:tc>
          <w:tcPr/>
          <w:p>
            <w:pPr>
              <w:pStyle w:val="Compact"/>
              <w:jc w:val="left"/>
            </w:pPr>
            <w:r>
              <w:t xml:space="preserve">%35</w:t>
            </w:r>
          </w:p>
        </w:tc>
        <w:tc>
          <w:tcPr/>
          <w:p>
            <w:pPr>
              <w:pStyle w:val="Compact"/>
              <w:jc w:val="left"/>
            </w:pPr>
            <w:r>
              <w:t xml:space="preserve">82% of Ankara residents use social media for health research (Turkish Internet Usage Report).</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Builds trust faster than paid ads in Turkish healthcare culture.</w:t>
            </w:r>
          </w:p>
        </w:tc>
      </w:tr>
      <w:tr>
        <w:tc>
          <w:tcPr/>
          <w:p>
            <w:pPr>
              <w:pStyle w:val="Compact"/>
              <w:jc w:val="left"/>
            </w:pPr>
            <w:r>
              <w:t xml:space="preserve">Branding &amp; Materials (Turkish-Localized)</w:t>
            </w:r>
          </w:p>
        </w:tc>
        <w:tc>
          <w:tcPr/>
          <w:p>
            <w:pPr>
              <w:pStyle w:val="Compact"/>
              <w:jc w:val="left"/>
            </w:pPr>
            <w:r>
              <w:t xml:space="preserve">%20</w:t>
            </w:r>
          </w:p>
        </w:tc>
        <w:tc>
          <w:tcPr/>
          <w:p>
            <w:pPr>
              <w:pStyle w:val="Compact"/>
            </w:pPr>
          </w:p>
        </w:tc>
      </w:tr>
      <w:tr>
        <w:tc>
          <w:tcPr/>
          <w:p>
            <w:pPr>
              <w:pStyle w:val="Compact"/>
              <w:jc w:val="left"/>
            </w:pPr>
            <w:r>
              <w:t xml:space="preserve">Staff Training (Cultural Competency)</w:t>
            </w:r>
          </w:p>
        </w:tc>
        <w:tc>
          <w:tcPr/>
          <w:p>
            <w:pPr>
              <w:pStyle w:val="Compact"/>
              <w:jc w:val="left"/>
            </w:pPr>
            <w:r>
              <w:t xml:space="preserve">%15</w:t>
            </w:r>
          </w:p>
        </w:tc>
        <w:tc>
          <w:tcPr/>
          <w:p>
            <w:pPr>
              <w:pStyle w:val="Compact"/>
            </w:pP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8"/>
    <w:bookmarkStart w:id="29" w:name="Xc5ddbb48b7ca2c18498c853d3ab7348e64420da"/>
    <w:p>
      <w:pPr>
        <w:pStyle w:val="Heading2"/>
      </w:pPr>
      <w:r>
        <w:t xml:space="preserve">Key Performance Indicators (KPIs) for Turkey Ankara Market</w:t>
      </w:r>
    </w:p>
    <w:p>
      <w:pPr>
        <w:pStyle w:val="FirstParagraph"/>
      </w:pPr>
      <w:r>
        <w:t xml:space="preserve">This Marketing Plan tracks success through Ankara-specific metrics:</w:t>
      </w:r>
    </w:p>
    <w:p>
      <w:pPr>
        <w:numPr>
          <w:ilvl w:val="0"/>
          <w:numId w:val="1005"/>
        </w:numPr>
        <w:pStyle w:val="Compact"/>
      </w:pPr>
      <w:r>
        <w:rPr>
          <w:bCs/>
          <w:b/>
        </w:rPr>
        <w:t xml:space="preserve">Patient Acquisition Cost (PAC):</w:t>
      </w:r>
      <w:r>
        <w:t xml:space="preserve"> </w:t>
      </w:r>
      <w:r>
        <w:t xml:space="preserve">Target: ₺1,800 per new patient (below Ankara industry avg. of ₺2,300).</w:t>
      </w:r>
    </w:p>
    <w:p>
      <w:pPr>
        <w:numPr>
          <w:ilvl w:val="0"/>
          <w:numId w:val="1005"/>
        </w:numPr>
        <w:pStyle w:val="Compact"/>
      </w:pPr>
      <w:r>
        <w:rPr>
          <w:bCs/>
          <w:b/>
        </w:rPr>
        <w:t xml:space="preserve">Local Market Share:</w:t>
      </w:r>
      <w:r>
        <w:t xml:space="preserve"> </w:t>
      </w:r>
      <w:r>
        <w:t xml:space="preserve">Achieve 15% in Çankaya/Kızılay by Year 2.</w:t>
      </w:r>
    </w:p>
    <w:p>
      <w:pPr>
        <w:numPr>
          <w:ilvl w:val="0"/>
          <w:numId w:val="1005"/>
        </w:numPr>
        <w:pStyle w:val="Compact"/>
      </w:pPr>
      <w:r>
        <w:rPr>
          <w:bCs/>
          <w:b/>
        </w:rPr>
        <w:t xml:space="preserve">Community Engagement:</w:t>
      </w:r>
      <w:r>
        <w:t xml:space="preserve"> </w:t>
      </w:r>
      <w:r>
        <w:t xml:space="preserve">75% patient retention rate through follow-up wellness programs.</w:t>
      </w:r>
    </w:p>
    <w:p>
      <w:pPr>
        <w:numPr>
          <w:ilvl w:val="0"/>
          <w:numId w:val="1005"/>
        </w:numPr>
        <w:pStyle w:val="Compact"/>
      </w:pPr>
      <w:r>
        <w:rPr>
          <w:bCs/>
          <w:b/>
        </w:rPr>
        <w:t xml:space="preserve">Digital Reach:</w:t>
      </w:r>
      <w:r>
        <w:t xml:space="preserve"> </w:t>
      </w:r>
      <w:r>
        <w:t xml:space="preserve">40,000+ monthly organic impressions from Ankara-based searches.</w:t>
      </w:r>
    </w:p>
    <w:bookmarkEnd w:id="29"/>
    <w:bookmarkStart w:id="30" w:name="X497d151c84804d8563a2edafd731f1f72b5b97c"/>
    <w:p>
      <w:pPr>
        <w:pStyle w:val="Heading2"/>
      </w:pPr>
      <w:r>
        <w:t xml:space="preserve">Conclusion: A Sustainable Vision for Ankara</w:t>
      </w:r>
    </w:p>
    <w:p>
      <w:pPr>
        <w:pStyle w:val="FirstParagraph"/>
      </w:pPr>
      <w:r>
        <w:t xml:space="preserve">This Marketing Plan transcends generic tactics by embedding our Optometrist practice into Ankara’s social fabric. By prioritizing cultural relevance, community impact, and data-driven local engagement, we’ll establish an unshakeable position as Turkey’s leading eye care provider in the capital. We don’t just sell glasses—we invest in Ankara’s visual future. The plan delivers measurable growth while aligning with Turkey’s healthcare evolution: where preventive care meets personalized service. This is not merely a Marketing Plan for an Optometrist practice—it is a commitment to elevating eye health across Turkey Ankara, one patient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Ankara, Turkey</dc:title>
  <dc:creator/>
  <dc:language>en</dc:language>
  <cp:keywords/>
  <dcterms:created xsi:type="dcterms:W3CDTF">2026-07-21T05:42:08Z</dcterms:created>
  <dcterms:modified xsi:type="dcterms:W3CDTF">2026-07-21T05:42:08Z</dcterms:modified>
</cp:coreProperties>
</file>

<file path=docProps/custom.xml><?xml version="1.0" encoding="utf-8"?>
<Properties xmlns="http://schemas.openxmlformats.org/officeDocument/2006/custom-properties" xmlns:vt="http://schemas.openxmlformats.org/officeDocument/2006/docPropsVTypes"/>
</file>