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Istanbul,</w:t>
      </w:r>
      <w:r>
        <w:t xml:space="preserve"> </w:t>
      </w:r>
      <w:r>
        <w:t xml:space="preserve">Turkey</w:t>
      </w:r>
    </w:p>
    <w:bookmarkStart w:id="29" w:name="X94d1d9b4719f0134be8f01a97d9fbc46d00f06c"/>
    <w:p>
      <w:pPr>
        <w:pStyle w:val="Heading1"/>
      </w:pPr>
      <w:r>
        <w:t xml:space="preserve">Comprehensive Marketing Plan for Premium Optometrist Services in Istanbul, Turkey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in Istanbul, Turkey. Recognizing the rapidly expanding eye care market in one of Europe's most populous cities, this plan targets Turkish consumers' evolving vision health needs through culturally resonant, technology-driven strategies. With Istanbul's population exceeding 15 million and rising demand for specialized eye care services driven by digital device usage and aging demographics, our optometrist practice will position itself as the city's most trusted provider of comprehensive eye examinations, corrective solutions, and preventive care. The plan allocates resources to capture 12% market share within three years while building brand recognition across Istanbul's diverse neighborhoods.</w:t>
      </w:r>
    </w:p>
    <w:bookmarkEnd w:id="20"/>
    <w:bookmarkStart w:id="21" w:name="market-analysis-turkey-istanbul-context"/>
    <w:p>
      <w:pPr>
        <w:pStyle w:val="Heading2"/>
      </w:pPr>
      <w:r>
        <w:t xml:space="preserve">Market Analysis: Turkey Istanbul Context</w:t>
      </w:r>
    </w:p>
    <w:p>
      <w:pPr>
        <w:pStyle w:val="FirstParagraph"/>
      </w:pPr>
      <w:r>
        <w:t xml:space="preserve">Istanbul presents a unique opportunity with its dual identity as a global city with deep Turkish cultural roots. The optometry market in Turkey is experiencing 15% annual growth (Turkish Statistical Institute, 2023), fueled by increasing smartphone usage (78% of Turks own smartphones), rising diabetes rates causing diabetic retinopathy, and growing awareness of preventive eye care. However, the market remains underserved—only 1 optometrist exists per 10,000 residents in Istanbul compared to the OECD average of 1:4,500. Cultural nuances are critical: Turkish consumers prioritize personalized service over clinical efficiency and value family-oriented health decisions (72% consult relatives before choosing healthcare providers). Competitors in Istanbul often lack modern equipment or multilingual staff, creating a gap our practice will fill with technology integration and culturally competent care.</w:t>
      </w:r>
    </w:p>
    <w:bookmarkEnd w:id="21"/>
    <w:bookmarkStart w:id="22" w:name="target-audience-segmentation"/>
    <w:p>
      <w:pPr>
        <w:pStyle w:val="Heading2"/>
      </w:pPr>
      <w:r>
        <w:t xml:space="preserve">Target Audience Segmentation</w:t>
      </w:r>
    </w:p>
    <w:p>
      <w:pPr>
        <w:numPr>
          <w:ilvl w:val="0"/>
          <w:numId w:val="1001"/>
        </w:numPr>
        <w:pStyle w:val="Compact"/>
      </w:pPr>
      <w:r>
        <w:t xml:space="preserve">Primary:** Working professionals (25-45 years) in business districts like Maslak and Levent – seeking premium eye exams, blue-light protection for screen use, and contact lens solutions.</w:t>
      </w:r>
    </w:p>
    <w:p>
      <w:pPr>
        <w:numPr>
          <w:ilvl w:val="0"/>
          <w:numId w:val="1001"/>
        </w:numPr>
        <w:pStyle w:val="Compact"/>
      </w:pPr>
      <w:r>
        <w:t xml:space="preserve">Secondary:** Families in residential areas (Beyoğlu, Kadıköy) – requiring pediatric optometry, school vision screenings for children.</w:t>
      </w:r>
    </w:p>
    <w:p>
      <w:pPr>
        <w:numPr>
          <w:ilvl w:val="0"/>
          <w:numId w:val="1001"/>
        </w:numPr>
        <w:pStyle w:val="Compact"/>
      </w:pPr>
      <w:r>
        <w:t xml:space="preserve">Tertiary:** Aging population (60+ years) in Şişli and Beşiktaş – focusing on cataract prevention, glaucoma management, and low-vision aids.</w:t>
      </w:r>
    </w:p>
    <w:p>
      <w:pPr>
        <w:pStyle w:val="FirstParagraph"/>
      </w:pPr>
      <w:r>
        <w:t xml:space="preserve">Key insights: 68% of Istanbul residents delay eye exams due to cost concerns (Turkish Eye Health Association), while 89% would pay for same-day appointments. Our optometrist practice will address these through tiered pricing and appointment accessibility.</w:t>
      </w:r>
    </w:p>
    <w:bookmarkEnd w:id="22"/>
    <w:bookmarkStart w:id="23" w:name="marketing-objectives"/>
    <w:p>
      <w:pPr>
        <w:pStyle w:val="Heading2"/>
      </w:pPr>
      <w:r>
        <w:t xml:space="preserve">Marketing Objectives</w:t>
      </w:r>
    </w:p>
    <w:p>
      <w:pPr>
        <w:numPr>
          <w:ilvl w:val="0"/>
          <w:numId w:val="1002"/>
        </w:numPr>
        <w:pStyle w:val="Compact"/>
      </w:pPr>
      <w:r>
        <w:t xml:space="preserve">Achieve 500 new patient acquisitions within Year 1, with 70% from online channels.</w:t>
      </w:r>
    </w:p>
    <w:p>
      <w:pPr>
        <w:numPr>
          <w:ilvl w:val="0"/>
          <w:numId w:val="1002"/>
        </w:numPr>
        <w:pStyle w:val="Compact"/>
      </w:pPr>
      <w:r>
        <w:t xml:space="preserve">Attain 4.8+ average rating across Google Maps, Facebook, and local platforms within 18 months.</w:t>
      </w:r>
    </w:p>
    <w:p>
      <w:pPr>
        <w:numPr>
          <w:ilvl w:val="0"/>
          <w:numId w:val="1002"/>
        </w:numPr>
        <w:pStyle w:val="Compact"/>
      </w:pPr>
      <w:r>
        <w:t xml:space="preserve">Secure partnerships with 15 corporate clients (e.g., Microsoft Turkey, local banks) for employee vision programs.</w:t>
      </w:r>
    </w:p>
    <w:p>
      <w:pPr>
        <w:numPr>
          <w:ilvl w:val="0"/>
          <w:numId w:val="1002"/>
        </w:numPr>
        <w:pStyle w:val="Compact"/>
      </w:pPr>
      <w:r>
        <w:t xml:space="preserve">Drive 30% brand recognition among Istanbul's middle-income households within two years.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All materials will incorporate Turkish design elements (e.g., use of "gül" flowers in branding) and bilingual content (Turkish/English). Staff training emphasizes Turkish hospitality norms ("mukadder") alongside clinical excellence.</w:t>
      </w:r>
    </w:p>
    <w:p>
      <w:pPr>
        <w:pStyle w:val="BodyText"/>
      </w:pPr>
      <w:r>
        <w:rPr>
          <w:bCs/>
          <w:b/>
        </w:rPr>
        <w:t xml:space="preserve">Digital Dominance:</w:t>
      </w:r>
    </w:p>
    <w:p>
      <w:pPr>
        <w:numPr>
          <w:ilvl w:val="0"/>
          <w:numId w:val="1003"/>
        </w:numPr>
        <w:pStyle w:val="Compact"/>
      </w:pPr>
      <w:r>
        <w:t xml:space="preserve">SEO: Target keywords like "optometrist Istanbul," "çocuk göz muayenesi İstanbul" (child eye exam Istanbul)</w:t>
      </w:r>
    </w:p>
    <w:p>
      <w:pPr>
        <w:numPr>
          <w:ilvl w:val="0"/>
          <w:numId w:val="1003"/>
        </w:numPr>
        <w:pStyle w:val="Compact"/>
      </w:pPr>
      <w:r>
        <w:t xml:space="preserve">Google Ads: Geo-targeted campaigns for districts with high professional populations</w:t>
      </w:r>
    </w:p>
    <w:p>
      <w:pPr>
        <w:numPr>
          <w:ilvl w:val="0"/>
          <w:numId w:val="1003"/>
        </w:numPr>
        <w:pStyle w:val="Compact"/>
      </w:pPr>
      <w:r>
        <w:t xml:space="preserve">Content Hub: Blog/videos in Turkish addressing local concerns (e.g., "Göz Sağlığı ve Sosyal Medya" – Eye Health and Social Media)</w:t>
      </w:r>
    </w:p>
    <w:p>
      <w:pPr>
        <w:pStyle w:val="FirstParagraph"/>
      </w:pPr>
      <w:r>
        <w:rPr>
          <w:bCs/>
          <w:b/>
        </w:rPr>
        <w:t xml:space="preserve">Community Building:</w:t>
      </w:r>
    </w:p>
    <w:p>
      <w:pPr>
        <w:numPr>
          <w:ilvl w:val="0"/>
          <w:numId w:val="1004"/>
        </w:numPr>
        <w:pStyle w:val="Compact"/>
      </w:pPr>
      <w:r>
        <w:t xml:space="preserve">Free vision screenings at Istanbul's cultural landmarks (e.g., Hagia Sophia, Dolmabahçe Palace) during tourist seasons</w:t>
      </w:r>
    </w:p>
    <w:p>
      <w:pPr>
        <w:numPr>
          <w:ilvl w:val="0"/>
          <w:numId w:val="1004"/>
        </w:numPr>
        <w:pStyle w:val="Compact"/>
      </w:pPr>
      <w:r>
        <w:t xml:space="preserve">Partnerships with schools in Kadıköy and Ümraniye for annual "Healthy Vision for Children" programs</w:t>
      </w:r>
    </w:p>
    <w:p>
      <w:pPr>
        <w:numPr>
          <w:ilvl w:val="0"/>
          <w:numId w:val="1004"/>
        </w:numPr>
        <w:pStyle w:val="Compact"/>
      </w:pPr>
      <w:r>
        <w:t xml:space="preserve">Collaborations with Turkish influencers focusing on health (e.g., @GozSaati_Turkiye on Instagram)</w:t>
      </w:r>
    </w:p>
    <w:p>
      <w:pPr>
        <w:pStyle w:val="FirstParagraph"/>
      </w:pPr>
      <w:r>
        <w:rPr>
          <w:bCs/>
          <w:b/>
        </w:rPr>
        <w:t xml:space="preserve">Unique Value Proposition:</w:t>
      </w:r>
      <w:r>
        <w:t xml:space="preserve"> </w:t>
      </w:r>
      <w:r>
        <w:t xml:space="preserve">"Istanbul's Only Optometrist Practice Offering: 3D Digital Retinal Scans, Turkish-English Multilingual Support, and Home Delivery for Prescription Glasses."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w:t>
            </w:r>
          </w:p>
        </w:tc>
        <w:tc>
          <w:tcPr/>
          <w:p>
            <w:pPr>
              <w:pStyle w:val="Compact"/>
              <w:jc w:val="left"/>
            </w:pPr>
            <w:r>
              <w:t xml:space="preserve">45%</w:t>
            </w:r>
          </w:p>
        </w:tc>
        <w:tc>
          <w:tcPr/>
          <w:p>
            <w:pPr>
              <w:pStyle w:val="Compact"/>
              <w:jc w:val="left"/>
            </w:pPr>
            <w:r>
              <w:t xml:space="preserve">SEO, Google Ads, social media campaigns targeting Istanbul neighborhoods</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Sponsorships, free screenings at cultural sites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Turkish-language videos, blog content, multilingual brochures</w:t>
            </w:r>
          </w:p>
        </w:tc>
      </w:tr>
      <w:tr>
        <w:tc>
          <w:tcPr/>
          <w:p>
            <w:pPr>
              <w:pStyle w:val="Compact"/>
              <w:jc w:val="left"/>
            </w:pPr>
            <w:r>
              <w:t xml:space="preserve">Partnerships &amp; PR</w:t>
            </w:r>
          </w:p>
        </w:tc>
        <w:tc>
          <w:tcPr/>
          <w:p>
            <w:pPr>
              <w:pStyle w:val="Compact"/>
              <w:jc w:val="left"/>
            </w:pPr>
            <w:r>
              <w:t xml:space="preserve">12%</w:t>
            </w:r>
          </w:p>
        </w:tc>
        <w:tc>
          <w:tcPr/>
          <w:p>
            <w:pPr>
              <w:pStyle w:val="Compact"/>
              <w:jc w:val="left"/>
            </w:pPr>
            <w:r>
              <w:t xml:space="preserve">Clinic partnerships with Turkish corporations and health NGOs</w:t>
            </w:r>
          </w:p>
        </w:tc>
      </w:tr>
      <w:tr>
        <w:tc>
          <w:tcPr/>
          <w:p>
            <w:pPr>
              <w:pStyle w:val="Compact"/>
              <w:jc w:val="left"/>
            </w:pPr>
            <w:r>
              <w:t xml:space="preserve">Measurement Tools</w:t>
            </w:r>
          </w:p>
        </w:tc>
        <w:tc>
          <w:tcPr/>
          <w:p>
            <w:pPr>
              <w:pStyle w:val="Compact"/>
              <w:jc w:val="left"/>
            </w:pPr>
            <w:r>
              <w:t xml:space="preserve">8%</w:t>
            </w:r>
          </w:p>
        </w:tc>
        <w:tc>
          <w:tcPr/>
          <w:p>
            <w:pPr>
              <w:pStyle w:val="Compact"/>
              <w:jc w:val="left"/>
            </w:pPr>
            <w:r>
              <w:t xml:space="preserve">Analytical software for tracking Istanbul-specific KPIs</w:t>
            </w:r>
          </w:p>
        </w:tc>
      </w:tr>
    </w:tbl>
    <w:bookmarkEnd w:id="25"/>
    <w:bookmarkStart w:id="26" w:name="X27b6a7f79a93fa4bec315e6f95ad3264e155145"/>
    <w:p>
      <w:pPr>
        <w:pStyle w:val="Heading2"/>
      </w:pPr>
      <w:r>
        <w:t xml:space="preserve">Implementation Timeline (Istanbul-Specific)</w:t>
      </w:r>
    </w:p>
    <w:p>
      <w:pPr>
        <w:pStyle w:val="FirstParagraph"/>
      </w:pPr>
      <w:r>
        <w:rPr>
          <w:bCs/>
          <w:b/>
        </w:rPr>
        <w:t xml:space="preserve">Months 1-3:</w:t>
      </w:r>
      <w:r>
        <w:t xml:space="preserve"> </w:t>
      </w:r>
      <w:r>
        <w:t xml:space="preserve">Establish Turkish-language website with Istanbul location maps; hire multilingual staff; launch Google My Business profile.</w:t>
      </w:r>
    </w:p>
    <w:p>
      <w:pPr>
        <w:pStyle w:val="BodyText"/>
      </w:pPr>
      <w:r>
        <w:rPr>
          <w:bCs/>
          <w:b/>
        </w:rPr>
        <w:t xml:space="preserve">Months 4-6:</w:t>
      </w:r>
      <w:r>
        <w:t xml:space="preserve"> </w:t>
      </w:r>
      <w:r>
        <w:t xml:space="preserve">Partner with 3 major schools in Beyoğlu for vision screenings; begin Instagram campaign targeting "Istanbul professionals" demographic.</w:t>
      </w:r>
    </w:p>
    <w:p>
      <w:pPr>
        <w:pStyle w:val="BodyText"/>
      </w:pPr>
      <w:r>
        <w:rPr>
          <w:bCs/>
          <w:b/>
        </w:rPr>
        <w:t xml:space="preserve">Months 7-9:</w:t>
      </w:r>
      <w:r>
        <w:t xml:space="preserve"> </w:t>
      </w:r>
      <w:r>
        <w:t xml:space="preserve">Roll out corporate wellness programs with local businesses; host first free eye health seminar at Galata Tower (peak tourist season).</w:t>
      </w:r>
    </w:p>
    <w:p>
      <w:pPr>
        <w:pStyle w:val="BodyText"/>
      </w:pPr>
      <w:r>
        <w:rPr>
          <w:bCs/>
          <w:b/>
        </w:rPr>
        <w:t xml:space="preserve">Months 10-12:</w:t>
      </w:r>
      <w:r>
        <w:t xml:space="preserve"> </w:t>
      </w:r>
      <w:r>
        <w:t xml:space="preserve">Analyze Istanbul-specific data to refine campaigns; expand to new neighborhoods (Kadıköy, Pendik) based on initial success.</w:t>
      </w:r>
    </w:p>
    <w:bookmarkEnd w:id="26"/>
    <w:bookmarkStart w:id="27" w:name="measurement-evaluation"/>
    <w:p>
      <w:pPr>
        <w:pStyle w:val="Heading2"/>
      </w:pPr>
      <w:r>
        <w:t xml:space="preserve">Measurement &amp; Evaluation</w:t>
      </w:r>
    </w:p>
    <w:p>
      <w:pPr>
        <w:pStyle w:val="FirstParagraph"/>
      </w:pPr>
      <w:r>
        <w:t xml:space="preserve">KPIs will be tracked with Istanbul as the geographic focus:</w:t>
      </w:r>
    </w:p>
    <w:p>
      <w:pPr>
        <w:numPr>
          <w:ilvl w:val="0"/>
          <w:numId w:val="1005"/>
        </w:numPr>
        <w:pStyle w:val="Compact"/>
      </w:pPr>
      <w:r>
        <w:rPr>
          <w:bCs/>
          <w:b/>
        </w:rPr>
        <w:t xml:space="preserve">Local Engagement:</w:t>
      </w:r>
      <w:r>
        <w:t xml:space="preserve"> </w:t>
      </w:r>
      <w:r>
        <w:t xml:space="preserve">Track "Istanbul" in Google search terms (target: 40% of online traffic)</w:t>
      </w:r>
    </w:p>
    <w:p>
      <w:pPr>
        <w:numPr>
          <w:ilvl w:val="0"/>
          <w:numId w:val="1005"/>
        </w:numPr>
        <w:pStyle w:val="Compact"/>
      </w:pPr>
      <w:r>
        <w:rPr>
          <w:bCs/>
          <w:b/>
        </w:rPr>
        <w:t xml:space="preserve">Cultural Relevance:</w:t>
      </w:r>
      <w:r>
        <w:t xml:space="preserve"> </w:t>
      </w:r>
      <w:r>
        <w:t xml:space="preserve">Measure Turkish social media engagement rates vs. English content</w:t>
      </w:r>
    </w:p>
    <w:p>
      <w:pPr>
        <w:numPr>
          <w:ilvl w:val="0"/>
          <w:numId w:val="1005"/>
        </w:numPr>
        <w:pStyle w:val="Compact"/>
      </w:pPr>
      <w:r>
        <w:rPr>
          <w:bCs/>
          <w:b/>
        </w:rPr>
        <w:t xml:space="preserve">Community Impact:</w:t>
      </w:r>
      <w:r>
        <w:t xml:space="preserve"> </w:t>
      </w:r>
      <w:r>
        <w:t xml:space="preserve">Number of families served in Kadıköy/Şişli districts</w:t>
      </w:r>
    </w:p>
    <w:p>
      <w:pPr>
        <w:numPr>
          <w:ilvl w:val="0"/>
          <w:numId w:val="1005"/>
        </w:numPr>
        <w:pStyle w:val="Compact"/>
      </w:pPr>
      <w:r>
        <w:rPr>
          <w:bCs/>
          <w:b/>
        </w:rPr>
        <w:t xml:space="preserve">Satisfaction:</w:t>
      </w:r>
      <w:r>
        <w:t xml:space="preserve"> </w:t>
      </w:r>
      <w:r>
        <w:t xml:space="preserve">Post-visit surveys with Turkish language support (target: 90% positive)</w:t>
      </w:r>
    </w:p>
    <w:bookmarkEnd w:id="27"/>
    <w:bookmarkStart w:id="28" w:name="X3b901708ee32acd79f7cf3459155f037cc152e1"/>
    <w:p>
      <w:pPr>
        <w:pStyle w:val="Heading2"/>
      </w:pPr>
      <w:r>
        <w:t xml:space="preserve">Conclusion: Driving Vision Health in Turkey Istanbul</w:t>
      </w:r>
    </w:p>
    <w:p>
      <w:pPr>
        <w:pStyle w:val="FirstParagraph"/>
      </w:pPr>
      <w:r>
        <w:t xml:space="preserve">This Marketing Plan positions our optometrist practice as the essential eye care partner for Istanbul's dynamic population. By marrying cutting-edge optometry with deep cultural understanding of Turkey, we transcend transactional service to become a community health pillar. Unlike generic clinics, we address Istanbul-specific challenges—such as high pollution levels affecting eye health and tourism-driven seasonal demand—with localized solutions. Every strategy from our website design to neighborhood partnerships is engineered for Turkish consumers' lived experiences in Istanbul. As the city's population grows and digital adoption accelerates, this Marketing Plan ensures our optometrist practice doesn't just enter the market but becomes synonymous with trusted, culturally intelligent eye care across Turkey.</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Istanbul, Turkey</dc:title>
  <dc:creator/>
  <dc:language>en</dc:language>
  <cp:keywords/>
  <dcterms:created xsi:type="dcterms:W3CDTF">2026-07-23T04:03:38Z</dcterms:created>
  <dcterms:modified xsi:type="dcterms:W3CDTF">2026-07-23T04:03:38Z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