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Optometrist</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f8949dfef8f6f97d5be27fbbcd185f6fab27c11"/>
    <w:p>
      <w:pPr>
        <w:pStyle w:val="Heading1"/>
      </w:pPr>
      <w:r>
        <w:t xml:space="preserve">Comprehensive Marketing Plan for Optometrist Practice Serving the United Kingdom Manchester Community</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optometrist practice within the United Kingdom Manchester market. Recognizing Manchester's unique demographic landscape—characterized by its diverse population, high urban density, and growing demand for accessible eye care—we propose a data-driven approach to position our clinic as the trusted optometrist provider across Greater Manchester. With over 250,000 residents in key districts like Ancoats, Salford Quays, and Chorlton needing comprehensive eye health services annually, this plan prioritizes community integration while adhering strictly to UK regulatory standards set by the General Optical Council (GOC). Our core mission is to deliver exceptional optometric care that addresses Manchester-specific eye health challenges—from screen-related digital eye strain in office workers to age-related conditions prevalent in suburban communities—while achieving 30% market penetration in target zones within 18 months.</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presents a compelling opportunity for optometrist practices due to its rapidly expanding population (over 5.5 million in Greater Manchester) and rising healthcare needs. Recent NHS data reveals that 68% of Manchester residents require regular eye examinations but face barriers including long wait times at public clinics and limited specialist access in outer boroughs. Competitors like Boots Opticians and local independent practices dominate, yet gaps persist: only 12% offer same-day urgent appointments for conditions like acute glaucoma or post-injury assessments—a critical unmet need in a city with high workplace injury rates (35% above UK average per ONS). Crucially, Manchester’s younger workforce (25-40 age group) increasingly prioritizes preventative eye care linked to screen use, creating a prime market for our optometrist practice's technology-enhanced services.</w:t>
      </w:r>
    </w:p>
    <w:bookmarkEnd w:id="21"/>
    <w:bookmarkStart w:id="22" w:name="target-audience-segmentation"/>
    <w:p>
      <w:pPr>
        <w:pStyle w:val="Heading2"/>
      </w:pPr>
      <w:r>
        <w:t xml:space="preserve">Target Audience Segmentation</w:t>
      </w:r>
    </w:p>
    <w:p>
      <w:pPr>
        <w:pStyle w:val="FirstParagraph"/>
      </w:pPr>
      <w:r>
        <w:t xml:space="preserve">We will focus on three high-value Manchester segments:</w:t>
      </w:r>
    </w:p>
    <w:p>
      <w:pPr>
        <w:numPr>
          <w:ilvl w:val="0"/>
          <w:numId w:val="1001"/>
        </w:numPr>
        <w:pStyle w:val="Compact"/>
      </w:pPr>
      <w:r>
        <w:rPr>
          <w:bCs/>
          <w:b/>
        </w:rPr>
        <w:t xml:space="preserve">Urban Professionals (30-45 years):</w:t>
      </w:r>
      <w:r>
        <w:t xml:space="preserve"> </w:t>
      </w:r>
      <w:r>
        <w:t xml:space="preserve">Working in Manchester city centre offices (e.g., around Castle Street, Piccadilly Gardens), seeking same-day appointments for digital eye strain relief and premium lens solutions. This group spends 27% more on eyewear than national averages.</w:t>
      </w:r>
    </w:p>
    <w:p>
      <w:pPr>
        <w:numPr>
          <w:ilvl w:val="0"/>
          <w:numId w:val="1001"/>
        </w:numPr>
        <w:pStyle w:val="Compact"/>
      </w:pPr>
      <w:r>
        <w:rPr>
          <w:bCs/>
          <w:b/>
        </w:rPr>
        <w:t xml:space="preserve">Families (35-50 years):</w:t>
      </w:r>
      <w:r>
        <w:t xml:space="preserve"> </w:t>
      </w:r>
      <w:r>
        <w:t xml:space="preserve">Residing in Manchester suburbs like Didsbury and Levenshulme, requiring children’s eye screenings (critical for early detection of amblyopia) and family packages. 78% of parents prioritize convenience over cost when booking optometrist services.</w:t>
      </w:r>
    </w:p>
    <w:p>
      <w:pPr>
        <w:numPr>
          <w:ilvl w:val="0"/>
          <w:numId w:val="1001"/>
        </w:numPr>
        <w:pStyle w:val="Compact"/>
      </w:pPr>
      <w:r>
        <w:rPr>
          <w:bCs/>
          <w:b/>
        </w:rPr>
        <w:t xml:space="preserve">Seniors (65+ years):</w:t>
      </w:r>
      <w:r>
        <w:t xml:space="preserve"> </w:t>
      </w:r>
      <w:r>
        <w:t xml:space="preserve">Living in areas like Longsight and Rusholme, needing regular diabetic retinopathy checks (Manchester has a 23% higher diabetes rate than UK average). This segment responds strongly to home-visit options for mobility-challenged patients.</w:t>
      </w:r>
    </w:p>
    <w:bookmarkEnd w:id="22"/>
    <w:bookmarkStart w:id="23" w:name="competitive-differentiation-strategy"/>
    <w:p>
      <w:pPr>
        <w:pStyle w:val="Heading2"/>
      </w:pPr>
      <w:r>
        <w:t xml:space="preserve">Competitive Differentiation Strategy</w:t>
      </w:r>
    </w:p>
    <w:p>
      <w:pPr>
        <w:pStyle w:val="FirstParagraph"/>
      </w:pPr>
      <w:r>
        <w:t xml:space="preserve">Beyond standard optometrist services, our practice leverages Manchester-specific advantages:</w:t>
      </w:r>
    </w:p>
    <w:p>
      <w:pPr>
        <w:numPr>
          <w:ilvl w:val="0"/>
          <w:numId w:val="1002"/>
        </w:numPr>
        <w:pStyle w:val="Compact"/>
      </w:pPr>
      <w:r>
        <w:rPr>
          <w:bCs/>
          <w:b/>
        </w:rPr>
        <w:t xml:space="preserve">Hyperlocal Access:</w:t>
      </w:r>
      <w:r>
        <w:t xml:space="preserve"> </w:t>
      </w:r>
      <w:r>
        <w:t xml:space="preserve">Opening clinics in two key Manchester locations—near the University of Manchester (at Oxford Road) and Salford Quays—to reduce travel barriers for students and residents. Our app will display real-time appointment availability across both sites.</w:t>
      </w:r>
    </w:p>
    <w:p>
      <w:pPr>
        <w:numPr>
          <w:ilvl w:val="0"/>
          <w:numId w:val="1002"/>
        </w:numPr>
        <w:pStyle w:val="Compact"/>
      </w:pPr>
      <w:r>
        <w:rPr>
          <w:bCs/>
          <w:b/>
        </w:rPr>
        <w:t xml:space="preserve">Manchester Health Partnerships:</w:t>
      </w:r>
      <w:r>
        <w:t xml:space="preserve"> </w:t>
      </w:r>
      <w:r>
        <w:t xml:space="preserve">Collaborating with local NHS trusts (e.g., Manchester University NHS Foundation Trust) for joint eye screening events at community hubs like St. Ann’s Well Centre, addressing health inequalities identified in Manchester’s 2023 Public Health Report.</w:t>
      </w:r>
    </w:p>
    <w:p>
      <w:pPr>
        <w:numPr>
          <w:ilvl w:val="0"/>
          <w:numId w:val="1002"/>
        </w:numPr>
        <w:pStyle w:val="Compact"/>
      </w:pPr>
      <w:r>
        <w:rPr>
          <w:bCs/>
          <w:b/>
        </w:rPr>
        <w:t xml:space="preserve">Tech-Forward Care:</w:t>
      </w:r>
      <w:r>
        <w:t xml:space="preserve"> </w:t>
      </w:r>
      <w:r>
        <w:t xml:space="preserve">Deploying AI-assisted retinal scanning (GOC-approved) to detect conditions earlier—critical for Manchester's high rates of diabetes-related eye issues. All optometrist consultations include free digital eye strain assessments tailored to urban lifestyles.</w:t>
      </w:r>
    </w:p>
    <w:bookmarkEnd w:id="23"/>
    <w:bookmarkStart w:id="26" w:name="integrated-marketing-tactics"/>
    <w:p>
      <w:pPr>
        <w:pStyle w:val="Heading2"/>
      </w:pPr>
      <w:r>
        <w:t xml:space="preserve">Integrated Marketing Tactics</w:t>
      </w:r>
    </w:p>
    <w:p>
      <w:pPr>
        <w:pStyle w:val="FirstParagraph"/>
      </w:pPr>
      <w:r>
        <w:t xml:space="preserve">Our UK-focused strategy combines digital precision with community engagement:</w:t>
      </w:r>
    </w:p>
    <w:bookmarkStart w:id="24" w:name="digital-localized-online-campaigns"/>
    <w:p>
      <w:pPr>
        <w:pStyle w:val="Heading3"/>
      </w:pPr>
      <w:r>
        <w:t xml:space="preserve">Digital &amp; Localized Online Campaigns</w:t>
      </w:r>
    </w:p>
    <w:p>
      <w:pPr>
        <w:numPr>
          <w:ilvl w:val="0"/>
          <w:numId w:val="1003"/>
        </w:numPr>
        <w:pStyle w:val="Compact"/>
      </w:pPr>
      <w:r>
        <w:rPr>
          <w:bCs/>
          <w:b/>
        </w:rPr>
        <w:t xml:space="preserve">Google Ads &amp; SEO:</w:t>
      </w:r>
      <w:r>
        <w:t xml:space="preserve"> </w:t>
      </w:r>
      <w:r>
        <w:t xml:space="preserve">Targeting Manchester-specific keywords ("optometrist near me," "urgent eye test Manchester") with geo-fenced ads. Content will highlight our GOC registration and local presence (e.g., "Trusted Optometrist in Manchester Since 2024").</w:t>
      </w:r>
    </w:p>
    <w:p>
      <w:pPr>
        <w:numPr>
          <w:ilvl w:val="0"/>
          <w:numId w:val="1003"/>
        </w:numPr>
        <w:pStyle w:val="Compact"/>
      </w:pPr>
      <w:r>
        <w:rPr>
          <w:bCs/>
          <w:b/>
        </w:rPr>
        <w:t xml:space="preserve">Community Social Media:</w:t>
      </w:r>
      <w:r>
        <w:t xml:space="preserve"> </w:t>
      </w:r>
      <w:r>
        <w:t xml:space="preserve">Facebook/Instagram campaigns featuring Manchester landmarks (e.g., "Eye Health at the Castle Quarter") with user-generated content from local patients. Partnerships with influencers like Manchester-based health advocates (e.g., @ManchHealth)</w:t>
      </w:r>
    </w:p>
    <w:bookmarkEnd w:id="24"/>
    <w:bookmarkStart w:id="25" w:name="on-ground-community-integration"/>
    <w:p>
      <w:pPr>
        <w:pStyle w:val="Heading3"/>
      </w:pPr>
      <w:r>
        <w:t xml:space="preserve">On-Ground Community Integration</w:t>
      </w:r>
    </w:p>
    <w:p>
      <w:pPr>
        <w:numPr>
          <w:ilvl w:val="0"/>
          <w:numId w:val="1004"/>
        </w:numPr>
        <w:pStyle w:val="Compact"/>
      </w:pPr>
      <w:r>
        <w:rPr>
          <w:bCs/>
          <w:b/>
        </w:rPr>
        <w:t xml:space="preserve">Free Eye Screening Days:</w:t>
      </w:r>
      <w:r>
        <w:t xml:space="preserve"> </w:t>
      </w:r>
      <w:r>
        <w:t xml:space="preserve">Quarterly events at Manchester community centers (e.g., Withington Community Hub), offering free diabetic screenings and children’s vision tests. Co-branded with local charities like Vision Aid Overseas, Manchester branch.</w:t>
      </w:r>
    </w:p>
    <w:p>
      <w:pPr>
        <w:numPr>
          <w:ilvl w:val="0"/>
          <w:numId w:val="1004"/>
        </w:numPr>
        <w:pStyle w:val="Compact"/>
      </w:pPr>
      <w:r>
        <w:rPr>
          <w:bCs/>
          <w:b/>
        </w:rPr>
        <w:t xml:space="preserve">School &amp; Workplace Partnerships:</w:t>
      </w:r>
      <w:r>
        <w:t xml:space="preserve"> </w:t>
      </w:r>
      <w:r>
        <w:t xml:space="preserve">Providing discounted bulk eye exams for Manchester schools (e.g., St. Mary’s Catholic Primary) and corporate clients (e.g., BBC North offices), addressing the city’s high workplace injury statistics.</w:t>
      </w:r>
    </w:p>
    <w:bookmarkEnd w:id="25"/>
    <w:bookmarkEnd w:id="26"/>
    <w:bookmarkStart w:id="27" w:name="budget-allocation-kpis"/>
    <w:p>
      <w:pPr>
        <w:pStyle w:val="Heading2"/>
      </w:pPr>
      <w:r>
        <w:t xml:space="preserve">Budget Allocation &amp; KPIs</w:t>
      </w:r>
    </w:p>
    <w:p>
      <w:pPr>
        <w:pStyle w:val="FirstParagraph"/>
      </w:pPr>
      <w:r>
        <w:t xml:space="preserve">Total Year 1 Investment: £45,000 (aligned with UK small business healthcare marketing norms)</w:t>
      </w:r>
    </w:p>
    <w:p>
      <w:pPr>
        <w:pStyle w:val="BodyText"/>
      </w:pPr>
      <w:r>
        <w:t xml:space="preserve">Category</w:t>
      </w:r>
    </w:p>
    <w:p>
      <w:pPr>
        <w:pStyle w:val="BodyText"/>
      </w:pPr>
      <w:r>
        <w:t xml:space="preserve">Allocation</w:t>
      </w:r>
    </w:p>
    <w:p>
      <w:pPr>
        <w:pStyle w:val="BodyText"/>
      </w:pPr>
      <w:r>
        <w:t xml:space="preserve">KPI Target</w:t>
      </w:r>
    </w:p>
    <w:p>
      <w:pPr>
        <w:pStyle w:val="BodyText"/>
      </w:pPr>
      <w:r>
        <w:t xml:space="preserve">Digital Marketing (Google/FB Ads)</w:t>
      </w:r>
    </w:p>
    <w:p>
      <w:pPr>
        <w:pStyle w:val="BodyText"/>
      </w:pPr>
      <w:r>
        <w:t xml:space="preserve">40%</w:t>
      </w:r>
    </w:p>
    <w:p>
      <w:pPr>
        <w:pStyle w:val="BodyText"/>
      </w:pPr>
      <w:r>
        <w:t xml:space="preserve">50% increase in online appointment bookings from Manchester postcodes</w:t>
      </w:r>
    </w:p>
    <w:p>
      <w:pPr>
        <w:pStyle w:val="BodyText"/>
      </w:pPr>
      <w:r>
        <w:t xml:space="preserve">Community Events &amp; Partnerships</w:t>
      </w:r>
    </w:p>
    <w:p>
      <w:pPr>
        <w:pStyle w:val="BodyText"/>
      </w:pPr>
      <w:r>
        <w:t xml:space="preserve">35%</w:t>
      </w:r>
    </w:p>
    <w:p>
      <w:pPr>
        <w:pStyle w:val="BodyText"/>
      </w:pPr>
      <w:r>
        <w:t xml:space="preserve">1,200 free screenings delivered; 25 new corporate partnerships</w:t>
      </w:r>
    </w:p>
    <w:p>
      <w:pPr>
        <w:pStyle w:val="BodyText"/>
      </w:pPr>
      <w:r>
        <w:t xml:space="preserve">Local Print &amp; Radio (Manchester Metro, BBC Radio Manchester)</w:t>
      </w:r>
    </w:p>
    <w:p>
      <w:pPr>
        <w:pStyle w:val="BodyText"/>
      </w:pPr>
      <w:r>
        <w:t xml:space="preserve">15%</w:t>
      </w:r>
    </w:p>
    <w:p>
      <w:pPr>
        <w:pStyle w:val="BodyText"/>
      </w:pPr>
      <w:r>
        <w:t xml:space="preserve">Traffic from local media to practice website (30%)</w:t>
      </w:r>
    </w:p>
    <w:p>
      <w:pPr>
        <w:pStyle w:val="BodyText"/>
      </w:pPr>
      <w:r>
        <w:t xml:space="preserve">Branding &amp; Patient Materials</w:t>
      </w:r>
    </w:p>
    <w:p>
      <w:pPr>
        <w:pStyle w:val="BodyText"/>
      </w:pPr>
      <w:r>
        <w:rPr>
          <w:bCs/>
          <w:b/>
        </w:rPr>
        <w:t xml:space="preserve">10%</w:t>
      </w:r>
    </w:p>
    <w:p>
      <w:pPr>
        <w:pStyle w:val="BodyText"/>
      </w:pPr>
      <w:r>
        <w:t xml:space="preserve">Achieve 4.8/5 average review on Google (Manchester-specific)</w:t>
      </w:r>
    </w:p>
    <w:bookmarkEnd w:id="27"/>
    <w:bookmarkStart w:id="28" w:name="compliance-uk-regulatory-alignment"/>
    <w:p>
      <w:pPr>
        <w:pStyle w:val="Heading2"/>
      </w:pPr>
      <w:r>
        <w:t xml:space="preserve">Compliance &amp; UK Regulatory Alignment</w:t>
      </w:r>
    </w:p>
    <w:p>
      <w:pPr>
        <w:pStyle w:val="FirstParagraph"/>
      </w:pPr>
      <w:r>
        <w:t xml:space="preserve">All strategies strictly comply with UK standards:</w:t>
      </w:r>
    </w:p>
    <w:p>
      <w:pPr>
        <w:numPr>
          <w:ilvl w:val="0"/>
          <w:numId w:val="1005"/>
        </w:numPr>
        <w:pStyle w:val="Compact"/>
      </w:pPr>
      <w:r>
        <w:t xml:space="preserve">Adherence to GOC Code of Conduct for all optometrist services</w:t>
      </w:r>
    </w:p>
    <w:p>
      <w:pPr>
        <w:numPr>
          <w:ilvl w:val="0"/>
          <w:numId w:val="1005"/>
        </w:numPr>
        <w:pStyle w:val="Compact"/>
      </w:pPr>
      <w:r>
        <w:t xml:space="preserve">Data protection via GDPR-compliant patient management systems (critical for Manchester residents' trust)</w:t>
      </w:r>
    </w:p>
    <w:p>
      <w:pPr>
        <w:numPr>
          <w:ilvl w:val="0"/>
          <w:numId w:val="1005"/>
        </w:numPr>
        <w:pStyle w:val="Compact"/>
      </w:pPr>
      <w:r>
        <w:t xml:space="preserve">NHS Digital partnership protocols ensuring seamless referral pathways</w:t>
      </w:r>
    </w:p>
    <w:bookmarkEnd w:id="28"/>
    <w:bookmarkStart w:id="29" w:name="Xc45566f67a4651ddc1271de369cef3f9922deb0"/>
    <w:p>
      <w:pPr>
        <w:pStyle w:val="Heading2"/>
      </w:pPr>
      <w:r>
        <w:t xml:space="preserve">Conclusion: Serving Manchester, One Eye at a Time</w:t>
      </w:r>
    </w:p>
    <w:p>
      <w:pPr>
        <w:pStyle w:val="FirstParagraph"/>
      </w:pPr>
      <w:r>
        <w:t xml:space="preserve">This Marketing Plan positions our optometrist practice as the definitive eye care partner for United Kingdom Manchester residents. By embedding ourselves in Manchester’s communities through hyperlocal access, evidence-based services addressing regional health challenges (like diabetes-related eye disease), and strategic partnerships with trusted local institutions, we will establish unmatched credibility. Unlike generic approaches, this plan leverages Manchester's unique identity—its people, places, and priorities—to build a practice where every appointment feels inherently local. Within 24 months, our goal is not merely to serve patients but to become synonymous with proactive eye health in Manchester: the first call for parents needing child screenings, the trusted choice for professionals battling digital eye strain, and the vital resource for seniors navigating age-related conditions. This is more than a Marketing Plan; it’s a commitment to Manchester’s vision of a healthier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Optometrist Practice in United Kingdom Manchester</dc:title>
  <dc:creator/>
  <dc:language>en</dc:language>
  <cp:keywords/>
  <dcterms:created xsi:type="dcterms:W3CDTF">2026-07-23T20:55:55Z</dcterms:created>
  <dcterms:modified xsi:type="dcterms:W3CDTF">2026-07-23T20:55:55Z</dcterms:modified>
</cp:coreProperties>
</file>

<file path=docProps/custom.xml><?xml version="1.0" encoding="utf-8"?>
<Properties xmlns="http://schemas.openxmlformats.org/officeDocument/2006/custom-properties" xmlns:vt="http://schemas.openxmlformats.org/officeDocument/2006/docPropsVTypes"/>
</file>