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Miami</w:t>
      </w:r>
    </w:p>
    <w:bookmarkStart w:id="32" w:name="X8a8ed2080dc5c7261ba74f54bc6c06b109a552d"/>
    <w:p>
      <w:pPr>
        <w:pStyle w:val="Heading1"/>
      </w:pPr>
      <w:r>
        <w:t xml:space="preserve">Comprehensive Marketing Plan for Premier Optometry Practice in United States Miami</w:t>
      </w:r>
    </w:p>
    <w:bookmarkStart w:id="20" w:name="executive-summary"/>
    <w:p>
      <w:pPr>
        <w:pStyle w:val="Heading2"/>
      </w:pPr>
      <w:r>
        <w:t xml:space="preserve">Executive Summary</w:t>
      </w:r>
    </w:p>
    <w:p>
      <w:pPr>
        <w:pStyle w:val="FirstParagraph"/>
      </w:pPr>
      <w:r>
        <w:t xml:space="preserve">This Marketing Plan outlines a strategic roadmap to establish "VisionCare Miami," a premium optometrist practice in the vibrant United States Miami market. Targeting diverse demographics across South Florida, our strategy focuses on differentiating through personalized eye care, cutting-edge technology, and community engagement. With Miami's population exceeding 2.7 million and growing at 1.8% annually, the demand for accessible optometric services is surging due to aging demographics and high rates of chronic conditions like diabetes that impact vision health. This plan details actionable tactics to capture 15% market share within three years while building enduring community trust.</w:t>
      </w:r>
    </w:p>
    <w:bookmarkEnd w:id="20"/>
    <w:bookmarkStart w:id="21" w:name="X172bc4fec5f646fb0f5b861caa63cb75348793a"/>
    <w:p>
      <w:pPr>
        <w:pStyle w:val="Heading2"/>
      </w:pPr>
      <w:r>
        <w:t xml:space="preserve">Market Analysis: United States Miami Context</w:t>
      </w:r>
    </w:p>
    <w:p>
      <w:pPr>
        <w:pStyle w:val="FirstParagraph"/>
      </w:pPr>
      <w:r>
        <w:t xml:space="preserve">Miami's unique demographic landscape presents both challenges and opportunities for our Optometrist practice. As the 7th largest metropolitan area in the United States, Miami boasts a culturally diverse population with significant Hispanic (70%), African American (18%), and Asian (9%) communities. This diversity requires multilingual services and culturally sensitive care models. The South Florida vision care market is highly competitive with approximately 350 optometrists operating across Miami-Dade County, yet only 22% offer comprehensive digital eye health analytics – a critical gap we will exploit.</w:t>
      </w:r>
    </w:p>
    <w:p>
      <w:pPr>
        <w:pStyle w:val="BodyText"/>
      </w:pPr>
      <w:r>
        <w:t xml:space="preserve">Key industry trends include rising demand for blue light protection (up 47% since 2020), increasing myopia rates among children (35% higher than national average), and telehealth adoption accelerated by pandemic-era preferences. Crucially, Miami's high UV index (11+ year-round) elevates need for specialized sunglasses and UV-protective lenses. Our Marketing Plan directly addresses these localized needs through tailored service offerings.</w:t>
      </w:r>
    </w:p>
    <w:bookmarkEnd w:id="21"/>
    <w:bookmarkStart w:id="22" w:name="target-audience-segmentation"/>
    <w:p>
      <w:pPr>
        <w:pStyle w:val="Heading2"/>
      </w:pPr>
      <w:r>
        <w:t xml:space="preserve">Target Audience Segmentation</w:t>
      </w:r>
    </w:p>
    <w:p>
      <w:pPr>
        <w:pStyle w:val="FirstParagraph"/>
      </w:pPr>
      <w:r>
        <w:t xml:space="preserve">We've identified four primary audience segments for our United States Miami Optometrist practice:</w:t>
      </w:r>
    </w:p>
    <w:p>
      <w:pPr>
        <w:numPr>
          <w:ilvl w:val="0"/>
          <w:numId w:val="1001"/>
        </w:numPr>
        <w:pStyle w:val="Compact"/>
      </w:pPr>
      <w:r>
        <w:rPr>
          <w:bCs/>
          <w:b/>
        </w:rPr>
        <w:t xml:space="preserve">Urban Professionals (25-45):</w:t>
      </w:r>
      <w:r>
        <w:t xml:space="preserve"> </w:t>
      </w:r>
      <w:r>
        <w:t xml:space="preserve">High smartphone usage, demanding work schedules. Will prioritize same-day appointments, telehealth consultations, and premium lens technology (e.g., anti-reflective coatings).</w:t>
      </w:r>
    </w:p>
    <w:p>
      <w:pPr>
        <w:numPr>
          <w:ilvl w:val="0"/>
          <w:numId w:val="1001"/>
        </w:numPr>
        <w:pStyle w:val="Compact"/>
      </w:pPr>
      <w:r>
        <w:rPr>
          <w:bCs/>
          <w:b/>
        </w:rPr>
        <w:t xml:space="preserve">Families with Children:</w:t>
      </w:r>
      <w:r>
        <w:t xml:space="preserve"> </w:t>
      </w:r>
      <w:r>
        <w:t xml:space="preserve">68% of Miami households have children under 18. Focus on pediatric vision screenings at schools and after-school programs.</w:t>
      </w:r>
    </w:p>
    <w:p>
      <w:pPr>
        <w:numPr>
          <w:ilvl w:val="0"/>
          <w:numId w:val="1001"/>
        </w:numPr>
        <w:pStyle w:val="Compact"/>
      </w:pPr>
      <w:r>
        <w:rPr>
          <w:bCs/>
          <w:b/>
        </w:rPr>
        <w:t xml:space="preserve">Senior Residents (65+):</w:t>
      </w:r>
      <w:r>
        <w:t xml:space="preserve"> </w:t>
      </w:r>
      <w:r>
        <w:t xml:space="preserve">Largest growing demographic in South Florida. Targeted marketing around cataract prevention, diabetic retinopathy screening, and Medicare-friendly billing.</w:t>
      </w:r>
    </w:p>
    <w:p>
      <w:pPr>
        <w:numPr>
          <w:ilvl w:val="0"/>
          <w:numId w:val="1001"/>
        </w:numPr>
        <w:pStyle w:val="Compact"/>
      </w:pPr>
      <w:r>
        <w:rPr>
          <w:bCs/>
          <w:b/>
        </w:rPr>
        <w:t xml:space="preserve">Tourists &amp; Seasonal Residents:</w:t>
      </w:r>
      <w:r>
        <w:t xml:space="preserve"> </w:t>
      </w:r>
      <w:r>
        <w:t xml:space="preserve">20M annual visitors to Miami Beach requiring emergency eye care solutions. Partnership with hotels and vacation rentals for "Travel Eye Care Kits."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65% recognition among Miami residents within 18 months through hyper-localized campaigns.</w:t>
      </w:r>
    </w:p>
    <w:p>
      <w:pPr>
        <w:numPr>
          <w:ilvl w:val="0"/>
          <w:numId w:val="1002"/>
        </w:numPr>
        <w:pStyle w:val="Compact"/>
      </w:pPr>
      <w:r>
        <w:rPr>
          <w:bCs/>
          <w:b/>
        </w:rPr>
        <w:t xml:space="preserve">Patient Acquisition:</w:t>
      </w:r>
      <w:r>
        <w:t xml:space="preserve"> </w:t>
      </w:r>
      <w:r>
        <w:t xml:space="preserve">Acquire 3,200 new patients (15% market share) by Year 2 via targeted digital and community outreach.</w:t>
      </w:r>
    </w:p>
    <w:p>
      <w:pPr>
        <w:numPr>
          <w:ilvl w:val="0"/>
          <w:numId w:val="1002"/>
        </w:numPr>
        <w:pStyle w:val="Compact"/>
      </w:pPr>
      <w:r>
        <w:rPr>
          <w:bCs/>
          <w:b/>
        </w:rPr>
        <w:t xml:space="preserve">Retention Rate:</w:t>
      </w:r>
      <w:r>
        <w:t xml:space="preserve"> </w:t>
      </w:r>
      <w:r>
        <w:t xml:space="preserve">Achieve 85% annual patient retention through personalized follow-up systems and loyalty programs.</w:t>
      </w:r>
    </w:p>
    <w:p>
      <w:pPr>
        <w:numPr>
          <w:ilvl w:val="0"/>
          <w:numId w:val="1002"/>
        </w:numPr>
        <w:pStyle w:val="Compact"/>
      </w:pPr>
      <w:r>
        <w:rPr>
          <w:bCs/>
          <w:b/>
        </w:rPr>
        <w:t xml:space="preserve">Community Positioning:</w:t>
      </w:r>
      <w:r>
        <w:t xml:space="preserve"> </w:t>
      </w:r>
      <w:r>
        <w:t xml:space="preserve">Become the most cited optometrist practice in Miami health initiatives by partnering with 10+ local organizations.</w:t>
      </w:r>
    </w:p>
    <w:bookmarkEnd w:id="23"/>
    <w:bookmarkStart w:id="28" w:name="core-marketing-strategies-tactics"/>
    <w:p>
      <w:pPr>
        <w:pStyle w:val="Heading2"/>
      </w:pPr>
      <w:r>
        <w:t xml:space="preserve">Core Marketing Strategies &amp; Tactics</w:t>
      </w:r>
    </w:p>
    <w:bookmarkStart w:id="24" w:name="X76ea8e2f52536fe578969bbda32923b06758cc7"/>
    <w:p>
      <w:pPr>
        <w:pStyle w:val="Heading3"/>
      </w:pPr>
      <w:r>
        <w:t xml:space="preserve">Digital Strategy: Miami-Specific Online Presence</w:t>
      </w:r>
    </w:p>
    <w:p>
      <w:pPr>
        <w:pStyle w:val="FirstParagraph"/>
      </w:pPr>
      <w:r>
        <w:t xml:space="preserve">Develop a multilingual (English/Spanish) website optimized for "optometrist near me" and "Miami eye care" keywords with local SEO. Implement Google Local Service Ads targeting Miami zip codes (33101-33199). Partner with Miami-based health influencers like @MiamiHealthTalk on Instagram for virtual consultations. Launch a Facebook campaign offering "Free UV Protection Screening" at Wynwood Art Walk events.</w:t>
      </w:r>
    </w:p>
    <w:bookmarkEnd w:id="24"/>
    <w:bookmarkStart w:id="25" w:name="Xda86c4d18316ccb420b0927fb07189663610973"/>
    <w:p>
      <w:pPr>
        <w:pStyle w:val="Heading3"/>
      </w:pPr>
      <w:r>
        <w:t xml:space="preserve">Community Integration: Beyond Traditional Marketing</w:t>
      </w:r>
    </w:p>
    <w:p>
      <w:pPr>
        <w:pStyle w:val="FirstParagraph"/>
      </w:pPr>
      <w:r>
        <w:t xml:space="preserve">Forge partnerships with Miami-Dade County Public Schools for free vision screenings – critical as 1 in 4 children in South Florida have undiagnosed vision issues. Sponsor Little League teams at Marlins Park with branded eye health packets. Collaborate with the Miami Beach Hotel Association to provide complimentary emergency eye care for tourists through hotel concierge services.</w:t>
      </w:r>
    </w:p>
    <w:bookmarkEnd w:id="25"/>
    <w:bookmarkStart w:id="26" w:name="Xeae72345174f775d9f8b5bbee9b3d414db1a00b"/>
    <w:p>
      <w:pPr>
        <w:pStyle w:val="Heading3"/>
      </w:pPr>
      <w:r>
        <w:t xml:space="preserve">Product Differentiation: Miami-Centric Services</w:t>
      </w:r>
    </w:p>
    <w:p>
      <w:pPr>
        <w:pStyle w:val="FirstParagraph"/>
      </w:pPr>
      <w:r>
        <w:t xml:space="preserve">Introduce "Beach &amp; UV Protection Packages" featuring polarized sunglasses with 100% UV400 protection (essential for Miami's coastal environment). Launch a telehealth program specifically for seasonal residents using HIPAA-compliant video tools. Offer free diabetic retinopathy screenings at senior centers in Little Havana and Overtown – addressing high local prevalence rates.</w:t>
      </w:r>
    </w:p>
    <w:bookmarkEnd w:id="26"/>
    <w:bookmarkStart w:id="27" w:name="loyalty-retention-system"/>
    <w:p>
      <w:pPr>
        <w:pStyle w:val="Heading3"/>
      </w:pPr>
      <w:r>
        <w:t xml:space="preserve">Loyalty &amp; Retention System</w:t>
      </w:r>
    </w:p>
    <w:p>
      <w:pPr>
        <w:pStyle w:val="FirstParagraph"/>
      </w:pPr>
      <w:r>
        <w:t xml:space="preserve">Implement a tiered rewards program where patients earn points for referrals (e.g., $20 gift card to Miami Beach boutique) and attendance at our monthly "Vision Health Seminars" at the Public Library. All patients receive quarterly personalized eye health reports via email based on their exam data.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(Google/Facebook)</w:t>
            </w:r>
          </w:p>
        </w:tc>
        <w:tc>
          <w:tcPr/>
          <w:p>
            <w:pPr>
              <w:pStyle w:val="Compact"/>
              <w:jc w:val="left"/>
            </w:pPr>
            <w:r>
              <w:t xml:space="preserve">$28,500 (38%)</w:t>
            </w:r>
          </w:p>
        </w:tc>
        <w:tc>
          <w:tcPr/>
          <w:p>
            <w:pPr>
              <w:pStyle w:val="Compact"/>
              <w:jc w:val="left"/>
            </w:pPr>
            <w:r>
              <w:t xml:space="preserve">Miami's high smartphone penetration requires targeted local digital presence.</w:t>
            </w:r>
          </w:p>
        </w:tc>
      </w:tr>
      <w:tr>
        <w:tc>
          <w:tcPr/>
          <w:p>
            <w:pPr>
              <w:pStyle w:val="Compact"/>
              <w:jc w:val="left"/>
            </w:pPr>
            <w:r>
              <w:t xml:space="preserve">Community Partnerships</w:t>
            </w:r>
          </w:p>
        </w:tc>
        <w:tc>
          <w:tcPr/>
          <w:p>
            <w:pPr>
              <w:pStyle w:val="Compact"/>
              <w:jc w:val="left"/>
            </w:pPr>
            <w:r>
              <w:t xml:space="preserve">$19,200 (26%)</w:t>
            </w:r>
          </w:p>
        </w:tc>
        <w:tc>
          <w:tcPr/>
          <w:p>
            <w:pPr>
              <w:pStyle w:val="Compact"/>
              <w:jc w:val="left"/>
            </w:pPr>
            <w:r>
              <w:t xml:space="preserve">Builds trust and accesses underserved populations in Miami neighborhoods.</w:t>
            </w:r>
          </w:p>
        </w:tc>
      </w:tr>
      <w:tr>
        <w:tc>
          <w:tcPr/>
          <w:p>
            <w:pPr>
              <w:pStyle w:val="Compact"/>
              <w:jc w:val="left"/>
            </w:pPr>
            <w:r>
              <w:t xml:space="preserve">Content Marketing (Blog/Video)</w:t>
            </w:r>
          </w:p>
        </w:tc>
        <w:tc>
          <w:tcPr/>
          <w:p>
            <w:pPr>
              <w:pStyle w:val="Compact"/>
              <w:jc w:val="left"/>
            </w:pPr>
            <w:r>
              <w:t xml:space="preserve">$15,300 (20%)</w:t>
            </w:r>
          </w:p>
        </w:tc>
        <w:tc>
          <w:tcPr/>
          <w:p>
            <w:pPr>
              <w:pStyle w:val="Compact"/>
              <w:jc w:val="left"/>
            </w:pPr>
            <w:r>
              <w:t xml:space="preserve">Addresses local concerns like UV exposure and pediatric vision needs.</w:t>
            </w:r>
          </w:p>
        </w:tc>
      </w:tr>
      <w:tr>
        <w:tc>
          <w:tcPr/>
          <w:p>
            <w:pPr>
              <w:pStyle w:val="Compact"/>
              <w:jc w:val="left"/>
            </w:pPr>
            <w:r>
              <w:t xml:space="preserve">Promotional Materials (Multilingual)</w:t>
            </w:r>
          </w:p>
        </w:tc>
        <w:tc>
          <w:tcPr/>
          <w:p>
            <w:pPr>
              <w:pStyle w:val="Compact"/>
              <w:jc w:val="left"/>
            </w:pPr>
            <w:r>
              <w:t xml:space="preserve">$7,800 (10%)</w:t>
            </w:r>
          </w:p>
        </w:tc>
        <w:tc>
          <w:tcPr/>
          <w:p>
            <w:pPr>
              <w:pStyle w:val="Compact"/>
              <w:jc w:val="left"/>
            </w:pPr>
            <w:r>
              <w:t xml:space="preserve">Catering to Miami's diverse population and high tourist traffic.</w:t>
            </w:r>
          </w:p>
        </w:tc>
      </w:tr>
      <w:tr>
        <w:tc>
          <w:tcPr/>
          <w:p>
            <w:pPr>
              <w:pStyle w:val="Compact"/>
              <w:jc w:val="left"/>
            </w:pPr>
            <w:r>
              <w:t xml:space="preserve">Event Sponsorships</w:t>
            </w:r>
          </w:p>
        </w:tc>
        <w:tc>
          <w:tcPr/>
          <w:p>
            <w:pPr>
              <w:pStyle w:val="Compact"/>
              <w:jc w:val="left"/>
            </w:pPr>
            <w:r>
              <w:t xml:space="preserve">$5,200 (7%)</w:t>
            </w:r>
          </w:p>
        </w:tc>
        <w:tc>
          <w:tcPr/>
          <w:p>
            <w:pPr>
              <w:pStyle w:val="Compact"/>
              <w:jc w:val="left"/>
            </w:pPr>
            <w:r>
              <w:t xml:space="preserve">Aligns with Miami cultural events for organic visibility.</w:t>
            </w:r>
          </w:p>
        </w:tc>
      </w:tr>
    </w:tbl>
    <w:p>
      <w:pPr>
        <w:pStyle w:val="BodyText"/>
      </w:pPr>
      <w:r>
        <w:t xml:space="preserve">Total Year 1 Marketing Budget: $76,000 (3% of projected revenue)</w:t>
      </w:r>
    </w:p>
    <w:bookmarkEnd w:id="29"/>
    <w:bookmarkStart w:id="30" w:name="evaluation-adaptation-framework"/>
    <w:p>
      <w:pPr>
        <w:pStyle w:val="Heading2"/>
      </w:pPr>
      <w:r>
        <w:t xml:space="preserve">Evaluation &amp; Adaptation Framework</w:t>
      </w:r>
    </w:p>
    <w:p>
      <w:pPr>
        <w:pStyle w:val="FirstParagraph"/>
      </w:pPr>
      <w:r>
        <w:t xml:space="preserve">We will track KPIs biweekly using local analytics tools: Google My Business engagement in United States Miami, appointment conversion rates from digital campaigns, and patient satisfaction scores (NPS) measured at each visit. Quarterly market scans will assess competitor activity across South Florida – including new optometrist openings near Brickell or Downtown Miami. Monthly community impact reports will measure school screening participation and hotel partnership uptake.</w:t>
      </w:r>
    </w:p>
    <w:p>
      <w:pPr>
        <w:pStyle w:val="BodyText"/>
      </w:pPr>
      <w:r>
        <w:t xml:space="preserve">Our Marketing Plan includes a built-in adaptation protocol: If digital campaigns yield under 25% conversion, we'll shift budget to community events; if retention drops below 80%, we'll implement new loyalty incentives within 30 days. This agile approach ensures constant alignment with Miami's evolving healthcare landscape.</w:t>
      </w:r>
    </w:p>
    <w:bookmarkEnd w:id="30"/>
    <w:bookmarkStart w:id="31" w:name="conclusion-vision-for-miami"/>
    <w:p>
      <w:pPr>
        <w:pStyle w:val="Heading2"/>
      </w:pPr>
      <w:r>
        <w:t xml:space="preserve">Conclusion: Vision for Miami</w:t>
      </w:r>
    </w:p>
    <w:p>
      <w:pPr>
        <w:pStyle w:val="FirstParagraph"/>
      </w:pPr>
      <w:r>
        <w:t xml:space="preserve">This Marketing Plan transforms a standard optometrist practice into an indispensable community health partner in United States Miami. By embedding our services within Miami's unique cultural, environmental, and demographic fabric – from Wynwood art galleries to South Beach hotels – we position VisionCare Miami as the trusted eye care authority. Our focus on localized problem-solving (UV protection, pediatric screenings, senior care) directly addresses unmet needs that generic national chains overlook. In a market where 68% of residents prioritize "community connection" when choosing healthcare providers, this Marketing Plan doesn't just advertise eye care – it builds lasting relationships through Miami-first solutions. The result will be a thriving Optometrist practice that improves vision while strengthening the health ecosystem across South Florida.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United States Miami</dc:title>
  <dc:creator/>
  <dc:language>en</dc:language>
  <cp:keywords/>
  <dcterms:created xsi:type="dcterms:W3CDTF">2026-09-27T15:28:28Z</dcterms:created>
  <dcterms:modified xsi:type="dcterms:W3CDTF">2026-09-27T15:28:28Z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