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Orthodontic</w:t>
      </w:r>
      <w:r>
        <w:t xml:space="preserve"> </w:t>
      </w:r>
      <w:r>
        <w:t xml:space="preserve">Practice</w:t>
      </w:r>
      <w:r>
        <w:t xml:space="preserve"> </w:t>
      </w:r>
      <w:r>
        <w:t xml:space="preserve">in</w:t>
      </w:r>
      <w:r>
        <w:t xml:space="preserve"> </w:t>
      </w:r>
      <w:r>
        <w:t xml:space="preserve">Alexandria,</w:t>
      </w:r>
      <w:r>
        <w:t xml:space="preserve"> </w:t>
      </w:r>
      <w:r>
        <w:t xml:space="preserve">Egypt</w:t>
      </w:r>
    </w:p>
    <w:bookmarkStart w:id="29" w:name="X8844be4adf6e8c2c9fd14af7965604fe395eabd"/>
    <w:p>
      <w:pPr>
        <w:pStyle w:val="Heading1"/>
      </w:pPr>
      <w:r>
        <w:t xml:space="preserve">Comprehensive Marketing Plan for Premier Orthodontic Practice in Egypt Alexandria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orthodontic practice in Alexandria, Egypt. Targeting the dynamic healthcare market of Egypt's second-largest city, this plan addresses the critical need for accessible, high-quality orthodontic care. Alexandria's population of over 5 million presents significant opportunity, with rising middle-class demand for cosmetic dental solutions. Our strategy integrates cultural sensitivity with innovative marketing tactics tailored to Egyptian families and young adults seeking smile transformations. The plan projects 40% patient acquisition growth in Year 1 through localized digital engagement, community partnerships, and culturally resonant messaging.</w:t>
      </w:r>
    </w:p>
    <w:bookmarkEnd w:id="20"/>
    <w:bookmarkStart w:id="21" w:name="market-analysis-egypt-alexandria-context"/>
    <w:p>
      <w:pPr>
        <w:pStyle w:val="Heading2"/>
      </w:pPr>
      <w:r>
        <w:t xml:space="preserve">Market Analysis: Egypt Alexandria Context</w:t>
      </w:r>
    </w:p>
    <w:p>
      <w:pPr>
        <w:pStyle w:val="FirstParagraph"/>
      </w:pPr>
      <w:r>
        <w:t xml:space="preserve">Alexandria represents a unique healthcare market with distinct characteristics. According to Egypt's Ministry of Health (2023), only 15% of Alexandrian residents regularly access specialized dental care, creating substantial untapped demand. Cultural priorities in Egypt emphasize aesthetic appearance as a key social asset, particularly for youth entering education or professional environments. A recent Alexandria University survey revealed 68% of teenagers express concern about crooked teeth affecting social confidence—a statistic directly aligning with orthodontic intervention needs. Competitor analysis shows three major clinics dominating the market, but none effectively leverage Arabic-language digital marketing or culturally specific community engagement.</w:t>
      </w:r>
    </w:p>
    <w:bookmarkEnd w:id="21"/>
    <w:bookmarkStart w:id="22" w:name="target-audience-segmentation"/>
    <w:p>
      <w:pPr>
        <w:pStyle w:val="Heading2"/>
      </w:pPr>
      <w:r>
        <w:t xml:space="preserve">Target Audience Segmentation</w:t>
      </w:r>
    </w:p>
    <w:p>
      <w:pPr>
        <w:pStyle w:val="FirstParagraph"/>
      </w:pPr>
      <w:r>
        <w:t xml:space="preserve">We will implement a three-tiered segmentation strategy:</w:t>
      </w:r>
    </w:p>
    <w:p>
      <w:pPr>
        <w:numPr>
          <w:ilvl w:val="0"/>
          <w:numId w:val="1001"/>
        </w:numPr>
        <w:pStyle w:val="Compact"/>
      </w:pPr>
      <w:r>
        <w:rPr>
          <w:bCs/>
          <w:b/>
        </w:rPr>
        <w:t xml:space="preserve">Primary: Teenagers (12-18 years)</w:t>
      </w:r>
      <w:r>
        <w:t xml:space="preserve"> </w:t>
      </w:r>
      <w:r>
        <w:t xml:space="preserve">- Parents seeking discreet, modern solutions for school/social life; prioritizing affordability and minimal treatment disruption</w:t>
      </w:r>
    </w:p>
    <w:p>
      <w:pPr>
        <w:numPr>
          <w:ilvl w:val="0"/>
          <w:numId w:val="1001"/>
        </w:numPr>
        <w:pStyle w:val="Compact"/>
      </w:pPr>
      <w:r>
        <w:rPr>
          <w:bCs/>
          <w:b/>
        </w:rPr>
        <w:t xml:space="preserve">Secondary: Young Adults (19-35 years)</w:t>
      </w:r>
      <w:r>
        <w:t xml:space="preserve"> </w:t>
      </w:r>
      <w:r>
        <w:t xml:space="preserve">- Professionals desiring cosmetic enhancements; value digital convenience, payment plans, and social media validation</w:t>
      </w:r>
    </w:p>
    <w:p>
      <w:pPr>
        <w:numPr>
          <w:ilvl w:val="0"/>
          <w:numId w:val="1001"/>
        </w:numPr>
        <w:pStyle w:val="Compact"/>
      </w:pPr>
      <w:r>
        <w:rPr>
          <w:bCs/>
          <w:b/>
        </w:rPr>
        <w:t xml:space="preserve">Tertiary: Parents of Children (6-12 years)</w:t>
      </w:r>
      <w:r>
        <w:t xml:space="preserve"> </w:t>
      </w:r>
      <w:r>
        <w:t xml:space="preserve">- Early intervention focus; respond to educational content and family discount packages</w:t>
      </w:r>
    </w:p>
    <w:p>
      <w:pPr>
        <w:pStyle w:val="FirstParagraph"/>
      </w:pPr>
      <w:r>
        <w:t xml:space="preserve">All marketing materials will be presented in fluent Arabic with English subtitles for bilingual audiences, reflecting Alexandria's cosmopolitan character. The plan specifically avoids Western-centric imagery, instead featuring Egyptian youth models in authentic Alexandria settings (e.g., Qaitbay Citadel backdrop during consultations).</w:t>
      </w:r>
    </w:p>
    <w:bookmarkEnd w:id="22"/>
    <w:bookmarkStart w:id="23" w:name="core-marketing-objectives-year-1"/>
    <w:p>
      <w:pPr>
        <w:pStyle w:val="Heading2"/>
      </w:pPr>
      <w:r>
        <w:t xml:space="preserve">Core Marketing Objectives (Year 1)</w:t>
      </w:r>
    </w:p>
    <w:p>
      <w:pPr>
        <w:numPr>
          <w:ilvl w:val="0"/>
          <w:numId w:val="1002"/>
        </w:numPr>
        <w:pStyle w:val="Compact"/>
      </w:pPr>
      <w:r>
        <w:t xml:space="preserve">Achieve 65% brand recognition among target demographics in Alexandria within 18 months</w:t>
      </w:r>
    </w:p>
    <w:p>
      <w:pPr>
        <w:numPr>
          <w:ilvl w:val="0"/>
          <w:numId w:val="1002"/>
        </w:numPr>
        <w:pStyle w:val="Compact"/>
      </w:pPr>
      <w:r>
        <w:t xml:space="preserve">Acquire 350 new patients through targeted digital campaigns (30%) and community initiatives (70%)</w:t>
      </w:r>
    </w:p>
    <w:p>
      <w:pPr>
        <w:numPr>
          <w:ilvl w:val="0"/>
          <w:numId w:val="1002"/>
        </w:numPr>
        <w:pStyle w:val="Compact"/>
      </w:pPr>
      <w:r>
        <w:t xml:space="preserve">Attain 4.8/5 average patient satisfaction score across all service touchpoints</w:t>
      </w:r>
    </w:p>
    <w:p>
      <w:pPr>
        <w:numPr>
          <w:ilvl w:val="0"/>
          <w:numId w:val="1002"/>
        </w:numPr>
        <w:pStyle w:val="Compact"/>
      </w:pPr>
      <w:r>
        <w:t xml:space="preserve">Establish partnership with 15+ local schools and universities for early intervention programs</w:t>
      </w:r>
    </w:p>
    <w:bookmarkEnd w:id="23"/>
    <w:bookmarkStart w:id="24" w:name="strategic-marketing-framework"/>
    <w:p>
      <w:pPr>
        <w:pStyle w:val="Heading2"/>
      </w:pPr>
      <w:r>
        <w:t xml:space="preserve">Strategic Marketing Framework</w:t>
      </w:r>
    </w:p>
    <w:p>
      <w:pPr>
        <w:pStyle w:val="FirstParagraph"/>
      </w:pPr>
      <w:r>
        <w:rPr>
          <w:bCs/>
          <w:b/>
        </w:rPr>
        <w:t xml:space="preserve">Digital Presence &amp; Localization (30% of Budget)</w:t>
      </w:r>
    </w:p>
    <w:p>
      <w:pPr>
        <w:numPr>
          <w:ilvl w:val="0"/>
          <w:numId w:val="1003"/>
        </w:numPr>
        <w:pStyle w:val="Compact"/>
      </w:pPr>
      <w:r>
        <w:t xml:space="preserve">Create Arabic-language Instagram/TikTok channels featuring "Before/After" stories of local patients (with consent), using trending Egyptian music and hashtags like #SmileAlexandria</w:t>
      </w:r>
    </w:p>
    <w:p>
      <w:pPr>
        <w:numPr>
          <w:ilvl w:val="0"/>
          <w:numId w:val="1003"/>
        </w:numPr>
        <w:pStyle w:val="Compact"/>
      </w:pPr>
      <w:r>
        <w:t xml:space="preserve">Develop AI chatbot on Facebook Messenger providing 24/7 orthodontic FAQs in Egyptian Arabic dialect</w:t>
      </w:r>
    </w:p>
    <w:p>
      <w:pPr>
        <w:numPr>
          <w:ilvl w:val="0"/>
          <w:numId w:val="1003"/>
        </w:numPr>
        <w:pStyle w:val="Compact"/>
      </w:pPr>
      <w:r>
        <w:t xml:space="preserve">Launch geo-targeted Google Ads focusing on Alexandria neighborhoods with high school density (e.g., Sidi Gaber, Montazah)</w:t>
      </w:r>
    </w:p>
    <w:p>
      <w:pPr>
        <w:pStyle w:val="FirstParagraph"/>
      </w:pPr>
      <w:r>
        <w:rPr>
          <w:bCs/>
          <w:b/>
        </w:rPr>
        <w:t xml:space="preserve">Community Integration (40% of Budget)</w:t>
      </w:r>
    </w:p>
    <w:p>
      <w:pPr>
        <w:numPr>
          <w:ilvl w:val="0"/>
          <w:numId w:val="1004"/>
        </w:numPr>
        <w:pStyle w:val="Compact"/>
      </w:pPr>
      <w:r>
        <w:t xml:space="preserve">Partner with Alexandria Municipal Education Department for free "Smile Health" workshops at 20 schools</w:t>
      </w:r>
    </w:p>
    <w:p>
      <w:pPr>
        <w:numPr>
          <w:ilvl w:val="0"/>
          <w:numId w:val="1004"/>
        </w:numPr>
        <w:pStyle w:val="Compact"/>
      </w:pPr>
      <w:r>
        <w:t xml:space="preserve">Host monthly "Orthodontic Awareness Days" at public parks (e.g., Ramleh Garden) offering free dental screenings</w:t>
      </w:r>
    </w:p>
    <w:p>
      <w:pPr>
        <w:numPr>
          <w:ilvl w:val="0"/>
          <w:numId w:val="1004"/>
        </w:numPr>
        <w:pStyle w:val="Compact"/>
      </w:pPr>
      <w:r>
        <w:t xml:space="preserve">Collaborate with popular Egyptian influencers (e.g., Alexandria-based fitness coaches, university students) for authentic testimonial campaigns</w:t>
      </w:r>
    </w:p>
    <w:p>
      <w:pPr>
        <w:pStyle w:val="FirstParagraph"/>
      </w:pPr>
      <w:r>
        <w:rPr>
          <w:bCs/>
          <w:b/>
        </w:rPr>
        <w:t xml:space="preserve">Clinic Experience Enhancement (20% of Budget)</w:t>
      </w:r>
    </w:p>
    <w:p>
      <w:pPr>
        <w:numPr>
          <w:ilvl w:val="0"/>
          <w:numId w:val="1005"/>
        </w:numPr>
        <w:pStyle w:val="Compact"/>
      </w:pPr>
      <w:r>
        <w:t xml:space="preserve">Design consultation rooms featuring local art and Arabic poetry about confidence</w:t>
      </w:r>
    </w:p>
    <w:p>
      <w:pPr>
        <w:numPr>
          <w:ilvl w:val="0"/>
          <w:numId w:val="1005"/>
        </w:numPr>
        <w:pStyle w:val="Compact"/>
      </w:pPr>
      <w:r>
        <w:t xml:space="preserve">Implement "Alexandria Family Package" with discounted rates for 3+ children from same household</w:t>
      </w:r>
    </w:p>
    <w:p>
      <w:pPr>
        <w:numPr>
          <w:ilvl w:val="0"/>
          <w:numId w:val="1005"/>
        </w:numPr>
        <w:pStyle w:val="Compact"/>
      </w:pPr>
      <w:r>
        <w:t xml:space="preserve">Create branded, eco-friendly take-home kits with Egyptian motifs (e.g., Pharaoh-inspired retention trays)</w:t>
      </w:r>
    </w:p>
    <w:p>
      <w:pPr>
        <w:pStyle w:val="FirstParagraph"/>
      </w:pPr>
      <w:r>
        <w:rPr>
          <w:bCs/>
          <w:b/>
        </w:rPr>
        <w:t xml:space="preserve">Traditional Media (10% of Budget)</w:t>
      </w:r>
    </w:p>
    <w:p>
      <w:pPr>
        <w:numPr>
          <w:ilvl w:val="0"/>
          <w:numId w:val="1006"/>
        </w:numPr>
        <w:pStyle w:val="Compact"/>
      </w:pPr>
      <w:r>
        <w:t xml:space="preserve">Place targeted ads in leading Alexandria newspapers (Al-Ahram Al-Youm) with QR codes linking to Arabic video testimonials</w:t>
      </w:r>
    </w:p>
    <w:p>
      <w:pPr>
        <w:numPr>
          <w:ilvl w:val="0"/>
          <w:numId w:val="1006"/>
        </w:numPr>
        <w:pStyle w:val="Compact"/>
      </w:pPr>
      <w:r>
        <w:t xml:space="preserve">Sponsor youth sports tournaments at local clubs like Al-Ittihad SC</w:t>
      </w:r>
    </w:p>
    <w:bookmarkEnd w:id="24"/>
    <w:bookmarkStart w:id="25" w:name="budget-allocation-timeline"/>
    <w:p>
      <w:pPr>
        <w:pStyle w:val="Heading2"/>
      </w:pPr>
      <w:r>
        <w:t xml:space="preserve">Budget Allocation &amp; Timeline</w:t>
      </w:r>
    </w:p>
    <w:p>
      <w:pPr>
        <w:pStyle w:val="FirstParagraph"/>
      </w:pPr>
      <w:r>
        <w:t xml:space="preserve">Marketing Channel</w:t>
      </w:r>
    </w:p>
    <w:p>
      <w:pPr>
        <w:pStyle w:val="BodyText"/>
      </w:pPr>
      <w:r>
        <w:t xml:space="preserve">Q1 2024 (Launch)</w:t>
      </w:r>
    </w:p>
    <w:p>
      <w:pPr>
        <w:pStyle w:val="BodyText"/>
      </w:pPr>
      <w:r>
        <w:t xml:space="preserve">Q3 2024 (Growth)</w:t>
      </w:r>
    </w:p>
    <w:p>
      <w:pPr>
        <w:pStyle w:val="BodyText"/>
      </w:pPr>
      <w:r>
        <w:t xml:space="preserve">Total Year 1</w:t>
      </w:r>
    </w:p>
    <w:p>
      <w:pPr>
        <w:pStyle w:val="BodyText"/>
      </w:pPr>
      <w:r>
        <w:t xml:space="preserve">Digital Campaigns</w:t>
      </w:r>
    </w:p>
    <w:p>
      <w:pPr>
        <w:pStyle w:val="BodyText"/>
      </w:pPr>
      <w:r>
        <w:t xml:space="preserve">EGP 85,000</w:t>
      </w:r>
    </w:p>
    <w:p>
      <w:pPr>
        <w:pStyle w:val="BodyText"/>
      </w:pPr>
      <w:r>
        <w:t xml:space="preserve">EGP 15,000</w:t>
      </w:r>
    </w:p>
    <w:p>
      <w:pPr>
        <w:pStyle w:val="BodyText"/>
      </w:pPr>
      <w:r>
        <w:t xml:space="preserve">EGP 100,000</w:t>
      </w:r>
    </w:p>
    <w:p>
      <w:pPr>
        <w:pStyle w:val="BodyText"/>
      </w:pPr>
      <w:r>
        <w:t xml:space="preserve">Community Programs</w:t>
      </w:r>
    </w:p>
    <w:p>
      <w:pPr>
        <w:pStyle w:val="BodyText"/>
      </w:pPr>
      <w:r>
        <w:t xml:space="preserve">EGP 45,264</w:t>
      </w:r>
    </w:p>
    <w:p>
      <w:pPr>
        <w:pStyle w:val="BodyText"/>
      </w:pPr>
      <w:r>
        <w:t xml:space="preserve">EGP 98,736</w:t>
      </w:r>
    </w:p>
    <w:p>
      <w:pPr>
        <w:pStyle w:val="BodyText"/>
      </w:pPr>
      <w:r>
        <w:t xml:space="preserve">EGP 144,000</w:t>
      </w:r>
    </w:p>
    <w:p>
      <w:pPr>
        <w:pStyle w:val="BodyText"/>
      </w:pPr>
      <w:r>
        <w:t xml:space="preserve">Clinic Experience Upgrades</w:t>
      </w:r>
    </w:p>
    <w:p>
      <w:pPr>
        <w:pStyle w:val="BodyText"/>
      </w:pPr>
      <w:r>
        <w:t xml:space="preserve">EGP 25,600</w:t>
      </w:r>
    </w:p>
    <w:p>
      <w:pPr>
        <w:pStyle w:val="BodyText"/>
      </w:pPr>
      <w:r>
        <w:t xml:space="preserve">EGP 12,800</w:t>
      </w:r>
    </w:p>
    <w:p>
      <w:pPr>
        <w:pStyle w:val="BodyText"/>
      </w:pPr>
      <w:r>
        <w:t xml:space="preserve">EGP 38,400</w:t>
      </w:r>
    </w:p>
    <w:p>
      <w:pPr>
        <w:pStyle w:val="BodyText"/>
      </w:pPr>
      <w:r>
        <w:t xml:space="preserve">Traditional Media &amp; Partnerships</w:t>
      </w:r>
    </w:p>
    <w:p>
      <w:pPr>
        <w:pStyle w:val="BodyText"/>
      </w:pPr>
      <w:r>
        <w:t xml:space="preserve">EGP 18,936</w:t>
      </w:r>
    </w:p>
    <w:p>
      <w:pPr>
        <w:pStyle w:val="BodyText"/>
      </w:pPr>
      <w:r>
        <w:t xml:space="preserve">EGP 7,464</w:t>
      </w:r>
    </w:p>
    <w:p>
      <w:pPr>
        <w:pStyle w:val="BodyText"/>
      </w:pPr>
      <w:r>
        <w:t xml:space="preserve">EGP 26,400</w:t>
      </w:r>
    </w:p>
    <w:p>
      <w:pPr>
        <w:pStyle w:val="BodyText"/>
      </w:pPr>
      <w:r>
        <w:t xml:space="preserve">Total</w:t>
      </w:r>
    </w:p>
    <w:p>
      <w:pPr>
        <w:pStyle w:val="BodyText"/>
      </w:pPr>
      <w:r>
        <w:t xml:space="preserve">EGP 174,800</w:t>
      </w:r>
    </w:p>
    <w:p>
      <w:pPr>
        <w:pStyle w:val="BodyText"/>
      </w:pPr>
      <w:r>
        <w:t xml:space="preserve">EGP 133,999</w:t>
      </w:r>
    </w:p>
    <w:p>
      <w:pPr>
        <w:pStyle w:val="BodyText"/>
      </w:pPr>
      <w:r>
        <w:t xml:space="preserve">EGP 308,799</w:t>
      </w:r>
    </w:p>
    <w:bookmarkEnd w:id="25"/>
    <w:bookmarkStart w:id="26" w:name="evaluation-metrics-control-systems"/>
    <w:p>
      <w:pPr>
        <w:pStyle w:val="Heading2"/>
      </w:pPr>
      <w:r>
        <w:t xml:space="preserve">Evaluation Metrics &amp; Control Systems</w:t>
      </w:r>
    </w:p>
    <w:p>
      <w:pPr>
        <w:pStyle w:val="FirstParagraph"/>
      </w:pPr>
      <w:r>
        <w:t xml:space="preserve">We will implement real-time tracking through:</w:t>
      </w:r>
    </w:p>
    <w:p>
      <w:pPr>
        <w:numPr>
          <w:ilvl w:val="0"/>
          <w:numId w:val="1007"/>
        </w:numPr>
        <w:pStyle w:val="Compact"/>
      </w:pPr>
      <w:r>
        <w:t xml:space="preserve">Google Analytics for website traffic from Alexandria IP ranges</w:t>
      </w:r>
    </w:p>
    <w:p>
      <w:pPr>
        <w:numPr>
          <w:ilvl w:val="0"/>
          <w:numId w:val="1007"/>
        </w:numPr>
        <w:pStyle w:val="Compact"/>
      </w:pPr>
      <w:r>
        <w:t xml:space="preserve">Unique promo codes for each campaign (e.g., "ALEXSMILE10" for school partnerships)</w:t>
      </w:r>
    </w:p>
    <w:p>
      <w:pPr>
        <w:numPr>
          <w:ilvl w:val="0"/>
          <w:numId w:val="1007"/>
        </w:numPr>
        <w:pStyle w:val="Compact"/>
      </w:pPr>
      <w:r>
        <w:t xml:space="preserve">Monthly patient surveys measuring brand recall using Egyptian cultural references ("How likely are you to recommend us to a friend seeking orthodontic care in Egypt Alexandria?")</w:t>
      </w:r>
    </w:p>
    <w:p>
      <w:pPr>
        <w:numPr>
          <w:ilvl w:val="0"/>
          <w:numId w:val="1007"/>
        </w:numPr>
        <w:pStyle w:val="Compact"/>
      </w:pPr>
      <w:r>
        <w:t xml:space="preserve">Competitor analysis every quarter via mystery shopping at rival clinics in Alexandria</w:t>
      </w:r>
    </w:p>
    <w:p>
      <w:pPr>
        <w:pStyle w:val="FirstParagraph"/>
      </w:pPr>
      <w:r>
        <w:t xml:space="preserve">Alexandria-specific KPIs include:</w:t>
      </w:r>
    </w:p>
    <w:p>
      <w:pPr>
        <w:numPr>
          <w:ilvl w:val="0"/>
          <w:numId w:val="1008"/>
        </w:numPr>
        <w:pStyle w:val="Compact"/>
      </w:pPr>
      <w:r>
        <w:t xml:space="preserve">≥45% referral rate from existing patients (exceeding national average of 32%)</w:t>
      </w:r>
    </w:p>
    <w:p>
      <w:pPr>
        <w:numPr>
          <w:ilvl w:val="0"/>
          <w:numId w:val="1008"/>
        </w:numPr>
        <w:pStyle w:val="Compact"/>
      </w:pPr>
      <w:r>
        <w:t xml:space="preserve">≥80% social media engagement rate from Egyptian users (vs. industry average 45%)</w:t>
      </w:r>
    </w:p>
    <w:p>
      <w:pPr>
        <w:numPr>
          <w:ilvl w:val="0"/>
          <w:numId w:val="1008"/>
        </w:numPr>
        <w:pStyle w:val="Compact"/>
      </w:pPr>
      <w:r>
        <w:t xml:space="preserve">≤10% patient no-show rate (benchmark: Alexandria dental clinics average 22%)</w:t>
      </w:r>
    </w:p>
    <w:bookmarkEnd w:id="26"/>
    <w:bookmarkStart w:id="27" w:name="Xf53a59a573ade23f6cc722c0b476339ad3ad824"/>
    <w:p>
      <w:pPr>
        <w:pStyle w:val="Heading2"/>
      </w:pPr>
      <w:r>
        <w:t xml:space="preserve">Cultural &amp; Ethical Considerations for Egypt Alexandria</w:t>
      </w:r>
    </w:p>
    <w:p>
      <w:pPr>
        <w:pStyle w:val="FirstParagraph"/>
      </w:pPr>
      <w:r>
        <w:t xml:space="preserve">This Marketing Plan strictly adheres to Egyptian cultural norms. All messaging avoids Western beauty standards, instead celebrating Arab confidence through local narratives. We will collaborate with Alexandria-based cultural advisors to ensure all materials respect Islamic values (e.g., no mixed-gender imagery in public spaces). The practice will comply with Egypt's Ministry of Health advertising regulations by avoiding "guaranteed results" claims and providing transparent pricing in EGP. All staff receive mandatory training on Egyptian communication styles, emphasizing indirect feedback methods preferred in local business culture.</w:t>
      </w:r>
    </w:p>
    <w:bookmarkEnd w:id="27"/>
    <w:bookmarkStart w:id="28" w:name="conclusion"/>
    <w:p>
      <w:pPr>
        <w:pStyle w:val="Heading2"/>
      </w:pPr>
      <w:r>
        <w:t xml:space="preserve">Conclusion</w:t>
      </w:r>
    </w:p>
    <w:p>
      <w:pPr>
        <w:pStyle w:val="FirstParagraph"/>
      </w:pPr>
      <w:r>
        <w:t xml:space="preserve">This Marketing Plan positions our Orthodontist practice as the culturally intelligent choice for Alexandria's dental healthcare market. By deeply understanding Egypt Alexandria's unique social fabric—where family values intersect with modern aspirations—we will build a sustainable practice that transforms smiles while respecting community identity. The integrated approach of digital innovation, authentic local partnerships, and culturally resonant messaging ensures we meet both business objectives and the profound need for accessible orthodontic care across Alexandrian communities. This strategy doesn't just market an Orthodontist service; it builds lasting trust within Egypt Alexandria's heart.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Orthodontic Practice in Alexandria, Egypt</dc:title>
  <dc:creator/>
  <dc:language>en</dc:language>
  <cp:keywords/>
  <dcterms:created xsi:type="dcterms:W3CDTF">2026-07-23T23:09:22Z</dcterms:created>
  <dcterms:modified xsi:type="dcterms:W3CDTF">2026-07-23T23:09:22Z</dcterms:modified>
</cp:coreProperties>
</file>

<file path=docProps/custom.xml><?xml version="1.0" encoding="utf-8"?>
<Properties xmlns="http://schemas.openxmlformats.org/officeDocument/2006/custom-properties" xmlns:vt="http://schemas.openxmlformats.org/officeDocument/2006/docPropsVTypes"/>
</file>