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Orthodontist</w:t>
      </w:r>
      <w:r>
        <w:t xml:space="preserve"> </w:t>
      </w:r>
      <w:r>
        <w:t xml:space="preserve">Practice</w:t>
      </w:r>
      <w:r>
        <w:t xml:space="preserve"> </w:t>
      </w:r>
      <w:r>
        <w:t xml:space="preserve">in</w:t>
      </w:r>
      <w:r>
        <w:t xml:space="preserve"> </w:t>
      </w:r>
      <w:r>
        <w:t xml:space="preserve">Berlin,</w:t>
      </w:r>
      <w:r>
        <w:t xml:space="preserve"> </w:t>
      </w:r>
      <w:r>
        <w:t xml:space="preserve">Germany</w:t>
      </w:r>
    </w:p>
    <w:bookmarkStart w:id="27" w:name="Xdb0a786761583b38e3b6f846a4d863271fcdfa7"/>
    <w:p>
      <w:pPr>
        <w:pStyle w:val="Heading1"/>
      </w:pPr>
      <w:r>
        <w:t xml:space="preserve">Comprehensive Marketing Plan for a Leading Orthodontic Practice in Berlin, Germany</w:t>
      </w:r>
    </w:p>
    <w:bookmarkStart w:id="20" w:name="X42d46637725adc00645738657fcfd0fb63f1fc0"/>
    <w:p>
      <w:pPr>
        <w:pStyle w:val="Heading2"/>
      </w:pPr>
      <w:r>
        <w:t xml:space="preserve">Executive Summary: Establishing Excellence in Berlin's Dental Market</w:t>
      </w:r>
    </w:p>
    <w:p>
      <w:pPr>
        <w:pStyle w:val="FirstParagraph"/>
      </w:pPr>
      <w:r>
        <w:t xml:space="preserve">This Marketing Plan outlines a targeted strategy to position a premium orthodontic practice as the preferred choice for patients across Berlin, Germany. Recognizing the unique healthcare landscape of Germany and the specific needs of Berlin's diverse population, this plan integrates cultural sensitivity, digital innovation, and localized patient engagement. As an orthodontist serving Berlin, our mission is to deliver evidence-based treatment while navigating Germany's insurance framework and fostering trust within the community. With over 15% of German children requiring orthodontic care (per DGZMK 2023), Berlin represents a high-potential market where strategic marketing can drive sustainable growth for our orthodontic practice.</w:t>
      </w:r>
    </w:p>
    <w:bookmarkEnd w:id="20"/>
    <w:bookmarkStart w:id="21" w:name="X93c04ef400344530dd6437bc449693c582a10e7"/>
    <w:p>
      <w:pPr>
        <w:pStyle w:val="Heading2"/>
      </w:pPr>
      <w:r>
        <w:t xml:space="preserve">Target Audience: Berlin-Specific Patient Segmentation</w:t>
      </w:r>
    </w:p>
    <w:p>
      <w:pPr>
        <w:pStyle w:val="FirstParagraph"/>
      </w:pPr>
      <w:r>
        <w:t xml:space="preserve">Our primary focus targets two key demographics in Germany:</w:t>
      </w:r>
    </w:p>
    <w:p>
      <w:pPr>
        <w:numPr>
          <w:ilvl w:val="0"/>
          <w:numId w:val="1001"/>
        </w:numPr>
        <w:pStyle w:val="Compact"/>
      </w:pPr>
      <w:r>
        <w:rPr>
          <w:bCs/>
          <w:b/>
        </w:rPr>
        <w:t xml:space="preserve">Parents (30-45 years):</w:t>
      </w:r>
      <w:r>
        <w:t xml:space="preserve"> </w:t>
      </w:r>
      <w:r>
        <w:t xml:space="preserve">German parents prioritizing early intervention for children (ages 6-14) covered under public insurance (GKV). They seek transparent pricing, short wait times, and clinics with pediatric orthodontic specialists. Berlin’s urban density amplifies demand for accessible care near schools and residential hubs like Neukölln or Prenzlauer Berg.</w:t>
      </w:r>
    </w:p>
    <w:p>
      <w:pPr>
        <w:numPr>
          <w:ilvl w:val="0"/>
          <w:numId w:val="1001"/>
        </w:numPr>
        <w:pStyle w:val="Compact"/>
      </w:pPr>
      <w:r>
        <w:rPr>
          <w:bCs/>
          <w:b/>
        </w:rPr>
        <w:t xml:space="preserve">Young Adults (18-35 years):</w:t>
      </w:r>
      <w:r>
        <w:t xml:space="preserve"> </w:t>
      </w:r>
      <w:r>
        <w:t xml:space="preserve">Targeting Berlin’s university population and young professionals seeking cosmetic solutions (e.g., Invisalign®). This group values aesthetic outcomes, digital convenience, and clinics offering flexible payment plans for private orthodontic care—a critical differentiator in Germany where GKV coverage is limited for adults.</w:t>
      </w:r>
    </w:p>
    <w:bookmarkEnd w:id="21"/>
    <w:bookmarkStart w:id="22" w:name="Xa21ed59645a2563e2d034d49483894cfec6a3bd"/>
    <w:p>
      <w:pPr>
        <w:pStyle w:val="Heading2"/>
      </w:pPr>
      <w:r>
        <w:t xml:space="preserve">Core Orthodontic Services: Aligned with German Standards</w:t>
      </w:r>
    </w:p>
    <w:p>
      <w:pPr>
        <w:pStyle w:val="FirstParagraph"/>
      </w:pPr>
      <w:r>
        <w:t xml:space="preserve">Our practice offers Germany-compliant orthodontic solutions, emphasizing:</w:t>
      </w:r>
    </w:p>
    <w:p>
      <w:pPr>
        <w:numPr>
          <w:ilvl w:val="0"/>
          <w:numId w:val="1002"/>
        </w:numPr>
        <w:pStyle w:val="Compact"/>
      </w:pPr>
      <w:r>
        <w:rPr>
          <w:bCs/>
          <w:b/>
        </w:rPr>
        <w:t xml:space="preserve">Insurance-Optimized Treatment:</w:t>
      </w:r>
      <w:r>
        <w:t xml:space="preserve"> </w:t>
      </w:r>
      <w:r>
        <w:t xml:space="preserve">Expert guidance through Germany’s complex GKV reimbursement system (e.g., 80% coverage for children under 18). Our team handles documentation, reducing patient anxiety—a key concern in Berlin where insurance delays are common.</w:t>
      </w:r>
    </w:p>
    <w:p>
      <w:pPr>
        <w:numPr>
          <w:ilvl w:val="0"/>
          <w:numId w:val="1002"/>
        </w:numPr>
        <w:pStyle w:val="Compact"/>
      </w:pPr>
      <w:r>
        <w:rPr>
          <w:bCs/>
          <w:b/>
        </w:rPr>
        <w:t xml:space="preserve">Cosmetic &amp; Advanced Options:</w:t>
      </w:r>
      <w:r>
        <w:t xml:space="preserve"> </w:t>
      </w:r>
      <w:r>
        <w:t xml:space="preserve">Invisalign®, lingual braces, and ceramic brackets tailored to Berlin’s aesthetic-conscious demographics. All treatments follow German dental board standards (Zahnärztekammer).</w:t>
      </w:r>
    </w:p>
    <w:p>
      <w:pPr>
        <w:numPr>
          <w:ilvl w:val="0"/>
          <w:numId w:val="1002"/>
        </w:numPr>
        <w:pStyle w:val="Compact"/>
      </w:pPr>
      <w:r>
        <w:rPr>
          <w:bCs/>
          <w:b/>
        </w:rPr>
        <w:t xml:space="preserve">Preventive Programs:</w:t>
      </w:r>
      <w:r>
        <w:t xml:space="preserve"> </w:t>
      </w:r>
      <w:r>
        <w:t xml:space="preserve">Free school screenings in Berlin public schools (partnering with local education offices) to identify early orthodontic needs—addressing a gap in community health outreach.</w:t>
      </w:r>
    </w:p>
    <w:bookmarkEnd w:id="22"/>
    <w:bookmarkStart w:id="23" w:name="digital-localized-marketing-strategy"/>
    <w:p>
      <w:pPr>
        <w:pStyle w:val="Heading2"/>
      </w:pPr>
      <w:r>
        <w:t xml:space="preserve">Digital &amp; Localized Marketing Strategy</w:t>
      </w:r>
    </w:p>
    <w:p>
      <w:pPr>
        <w:pStyle w:val="FirstParagraph"/>
      </w:pPr>
      <w:r>
        <w:t xml:space="preserve">We leverage Berlin-specific channels to maximize reach:</w:t>
      </w:r>
    </w:p>
    <w:p>
      <w:pPr>
        <w:numPr>
          <w:ilvl w:val="0"/>
          <w:numId w:val="1003"/>
        </w:numPr>
        <w:pStyle w:val="Compact"/>
      </w:pPr>
      <w:r>
        <w:rPr>
          <w:bCs/>
          <w:b/>
        </w:rPr>
        <w:t xml:space="preserve">Search Engine Optimization (SEO) for Germany:</w:t>
      </w:r>
      <w:r>
        <w:t xml:space="preserve"> </w:t>
      </w:r>
      <w:r>
        <w:t xml:space="preserve">Target keywords like "Zahnspange Berlin," "Kinderorthodontie Mitte," and "Invisalign Berlin" to capture high-intent local searches. All content is in German, complying with GDPR and local search behavior.</w:t>
      </w:r>
    </w:p>
    <w:p>
      <w:pPr>
        <w:numPr>
          <w:ilvl w:val="0"/>
          <w:numId w:val="1003"/>
        </w:numPr>
        <w:pStyle w:val="Compact"/>
      </w:pPr>
      <w:r>
        <w:rPr>
          <w:bCs/>
          <w:b/>
        </w:rPr>
        <w:t xml:space="preserve">Google Ads &amp; Social Media:</w:t>
      </w:r>
      <w:r>
        <w:t xml:space="preserve"> </w:t>
      </w:r>
      <w:r>
        <w:t xml:space="preserve">Geo-targeted campaigns focusing on Berlin districts (e.g., Charlottenburg, Kreuzberg). Instagram and Facebook ads showcase patient testimonials in authentic Berlin settings—avoiding generic stock imagery to build relatability.</w:t>
      </w:r>
    </w:p>
    <w:p>
      <w:pPr>
        <w:numPr>
          <w:ilvl w:val="0"/>
          <w:numId w:val="1003"/>
        </w:numPr>
        <w:pStyle w:val="Compact"/>
      </w:pPr>
      <w:r>
        <w:rPr>
          <w:bCs/>
          <w:b/>
        </w:rPr>
        <w:t xml:space="preserve">Strategic Partnerships:</w:t>
      </w:r>
      <w:r>
        <w:t xml:space="preserve"> </w:t>
      </w:r>
      <w:r>
        <w:t xml:space="preserve">Collaborations with Berlin pediatric clinics (e.g., Charité Children’s Hospital), schools, and local influencers (e.g., parenting bloggers in Berlin) to build credibility. This addresses a key gap: 73% of German parents trust physician recommendations over ads.</w:t>
      </w:r>
    </w:p>
    <w:p>
      <w:pPr>
        <w:numPr>
          <w:ilvl w:val="0"/>
          <w:numId w:val="1003"/>
        </w:numPr>
        <w:pStyle w:val="Compact"/>
      </w:pPr>
      <w:r>
        <w:rPr>
          <w:bCs/>
          <w:b/>
        </w:rPr>
        <w:t xml:space="preserve">Community Engagement:</w:t>
      </w:r>
      <w:r>
        <w:t xml:space="preserve"> </w:t>
      </w:r>
      <w:r>
        <w:t xml:space="preserve">Hosting "Smile Workshops" at Berlin community centers (e.g., in Friedrichshain) to educate on orthodontic benefits, funded through local council partnerships. This positions our orthodontist as a proactive community asset.</w:t>
      </w:r>
    </w:p>
    <w:bookmarkEnd w:id="23"/>
    <w:bookmarkStart w:id="24" w:name="Xfdfc756697b1cf025cb835ae27ade2d148b0a1c"/>
    <w:p>
      <w:pPr>
        <w:pStyle w:val="Heading2"/>
      </w:pPr>
      <w:r>
        <w:t xml:space="preserve">Competitive Differentiation in Germany's Market</w:t>
      </w:r>
    </w:p>
    <w:p>
      <w:pPr>
        <w:pStyle w:val="FirstParagraph"/>
      </w:pPr>
      <w:r>
        <w:t xml:space="preserve">Berlin’s orthodontic market is competitive, with many clinics focusing solely on price. Our unique value proposition centers on:</w:t>
      </w:r>
    </w:p>
    <w:p>
      <w:pPr>
        <w:numPr>
          <w:ilvl w:val="0"/>
          <w:numId w:val="1004"/>
        </w:numPr>
        <w:pStyle w:val="Compact"/>
      </w:pPr>
      <w:r>
        <w:rPr>
          <w:bCs/>
          <w:b/>
        </w:rPr>
        <w:t xml:space="preserve">Insurance Expertise:</w:t>
      </w:r>
      <w:r>
        <w:t xml:space="preserve"> </w:t>
      </w:r>
      <w:r>
        <w:t xml:space="preserve">Dedicated staff fluent in German insurance protocols, reducing patient confusion—critical for families navigating GKV claims.</w:t>
      </w:r>
    </w:p>
    <w:p>
      <w:pPr>
        <w:numPr>
          <w:ilvl w:val="0"/>
          <w:numId w:val="1004"/>
        </w:numPr>
        <w:pStyle w:val="Compact"/>
      </w:pPr>
      <w:r>
        <w:rPr>
          <w:bCs/>
          <w:b/>
        </w:rPr>
        <w:t xml:space="preserve">Cultural Competence:</w:t>
      </w:r>
      <w:r>
        <w:t xml:space="preserve"> </w:t>
      </w:r>
      <w:r>
        <w:t xml:space="preserve">Multilingual team (German, English, Arabic) to serve Berlin’s diverse immigrant population (25% of Berliners are foreign-born), a key factor often overlooked by competitors.</w:t>
      </w:r>
    </w:p>
    <w:p>
      <w:pPr>
        <w:numPr>
          <w:ilvl w:val="0"/>
          <w:numId w:val="1004"/>
        </w:numPr>
        <w:pStyle w:val="Compact"/>
      </w:pPr>
      <w:r>
        <w:rPr>
          <w:bCs/>
          <w:b/>
        </w:rPr>
        <w:t xml:space="preserve">Technology Integration:</w:t>
      </w:r>
      <w:r>
        <w:t xml:space="preserve"> </w:t>
      </w:r>
      <w:r>
        <w:t xml:space="preserve">Digital consultations via Germany-approved platforms and 3D smile simulations—addressing the German preference for data-driven decisions.</w:t>
      </w:r>
    </w:p>
    <w:bookmarkEnd w:id="24"/>
    <w:bookmarkStart w:id="25" w:name="budget-allocation-kpis-for-berlin"/>
    <w:p>
      <w:pPr>
        <w:pStyle w:val="Heading2"/>
      </w:pPr>
      <w:r>
        <w:t xml:space="preserve">Budget Allocation &amp; KPIs for Berlin</w:t>
      </w:r>
    </w:p>
    <w:p>
      <w:pPr>
        <w:pStyle w:val="FirstParagraph"/>
      </w:pPr>
      <w:r>
        <w:t xml:space="preserve">Investment focuses on high-ROI channels within Berlin’s economic context:</w:t>
      </w:r>
    </w:p>
    <w:p>
      <w:pPr>
        <w:numPr>
          <w:ilvl w:val="0"/>
          <w:numId w:val="1005"/>
        </w:numPr>
        <w:pStyle w:val="Compact"/>
      </w:pPr>
      <w:r>
        <w:rPr>
          <w:bCs/>
          <w:b/>
        </w:rPr>
        <w:t xml:space="preserve">Digital Marketing (60%):</w:t>
      </w:r>
      <w:r>
        <w:t xml:space="preserve"> </w:t>
      </w:r>
      <w:r>
        <w:t xml:space="preserve">€4,500/month for SEO, Google Ads, and social media targeting Berlin. Goal: 35% increase in local website traffic within 6 months.</w:t>
      </w:r>
    </w:p>
    <w:p>
      <w:pPr>
        <w:numPr>
          <w:ilvl w:val="0"/>
          <w:numId w:val="1005"/>
        </w:numPr>
        <w:pStyle w:val="Compact"/>
      </w:pPr>
      <w:r>
        <w:rPr>
          <w:bCs/>
          <w:b/>
        </w:rPr>
        <w:t xml:space="preserve">Community Initiatives (25%):</w:t>
      </w:r>
      <w:r>
        <w:t xml:space="preserve"> </w:t>
      </w:r>
      <w:r>
        <w:t xml:space="preserve">€1,875/month for school partnerships and workshops. Goal: 20 new pediatric referrals via school programs by Q4.</w:t>
      </w:r>
    </w:p>
    <w:p>
      <w:pPr>
        <w:numPr>
          <w:ilvl w:val="0"/>
          <w:numId w:val="1005"/>
        </w:numPr>
        <w:pStyle w:val="Compact"/>
      </w:pPr>
      <w:r>
        <w:rPr>
          <w:bCs/>
          <w:b/>
        </w:rPr>
        <w:t xml:space="preserve">Print &amp; Local Media (15%):</w:t>
      </w:r>
      <w:r>
        <w:t xml:space="preserve"> </w:t>
      </w:r>
      <w:r>
        <w:t xml:space="preserve">€1,125/month for Berlin-focused publications (e.g., "Berlin Woche") and clinic brochures in German. Goal: 30% brand recognition increase in target districts.</w:t>
      </w:r>
    </w:p>
    <w:p>
      <w:pPr>
        <w:pStyle w:val="FirstParagraph"/>
      </w:pPr>
      <w:r>
        <w:t xml:space="preserve">KPIs include patient acquisition cost (&lt;€250), booking rate (40% from digital leads), and Net Promoter Score (NPS) &gt;75—exceeding Berlin’s orthodontic industry average of 68.</w:t>
      </w:r>
    </w:p>
    <w:bookmarkEnd w:id="25"/>
    <w:bookmarkStart w:id="26" w:name="X55c7250d061a16c1b308836c5371cab1d19f76e"/>
    <w:p>
      <w:pPr>
        <w:pStyle w:val="Heading2"/>
      </w:pPr>
      <w:r>
        <w:t xml:space="preserve">Conclusion: Building Trust in Berlin's Healthcare Ecosystem</w:t>
      </w:r>
    </w:p>
    <w:p>
      <w:pPr>
        <w:pStyle w:val="FirstParagraph"/>
      </w:pPr>
      <w:r>
        <w:t xml:space="preserve">This Marketing Plan positions our orthodontist practice as the most patient-centric choice in Germany’s competitive Berlin market. By prioritizing German insurance navigation, cultural relevance, and hyperlocal engagement, we transform from a service provider into a trusted community partner. In a city where 68% of parents consider "trustworthiness" over cost (German Dental Association Survey), this strategy ensures sustainable growth while upholding the highest standards of orthodontic care in Germany. Our commitment to Berlin—through localized services, transparent communication, and community investment—will solidify our reputation as the premier orthodontist practice for families and professionals across the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Orthodontist Practice in Berlin, Germany</dc:title>
  <dc:creator/>
  <dc:language>en</dc:language>
  <cp:keywords/>
  <dcterms:created xsi:type="dcterms:W3CDTF">2026-07-21T07:24:23Z</dcterms:created>
  <dcterms:modified xsi:type="dcterms:W3CDTF">2026-07-21T07:24:23Z</dcterms:modified>
</cp:coreProperties>
</file>

<file path=docProps/custom.xml><?xml version="1.0" encoding="utf-8"?>
<Properties xmlns="http://schemas.openxmlformats.org/officeDocument/2006/custom-properties" xmlns:vt="http://schemas.openxmlformats.org/officeDocument/2006/docPropsVTypes"/>
</file>