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33" w:name="X2d590f06a9837afbacfbe76046e65ee526217b0"/>
    <w:p>
      <w:pPr>
        <w:pStyle w:val="Heading1"/>
      </w:pPr>
      <w:r>
        <w:t xml:space="preserve">Comprehensive Marketing Plan for a Premium Orthodontist Practice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leading orthodontic practice in Germany Frankfurt. As one of Europe's premier financial and cultural hubs, Frankfurt presents unique opportunities to attract patients from diverse demographics including expatriates, corporate professionals, and families seeking cutting-edge orthodontic care. The plan focuses on positioning our Orthodontist as the region's most trusted provider through digital innovation, community engagement, and adherence to German healthcare standards. With 12% annual growth in orthodontic demand across Germany (Statista 2023), this Marketing Plan targets capturing 8-10% market share within Frankfurt by Year 3 through data-driven patient acquisition and retention strategies.</w:t>
      </w:r>
    </w:p>
    <w:bookmarkEnd w:id="20"/>
    <w:bookmarkStart w:id="21" w:name="Xcdf10cfd02e9921beda28df2186252d37090d34"/>
    <w:p>
      <w:pPr>
        <w:pStyle w:val="Heading2"/>
      </w:pPr>
      <w:r>
        <w:t xml:space="preserve">Situation Analysis: Orthodontic Market in Germany Frankfurt</w:t>
      </w:r>
    </w:p>
    <w:p>
      <w:pPr>
        <w:pStyle w:val="FirstParagraph"/>
      </w:pPr>
      <w:r>
        <w:t xml:space="preserve">Frankfurt's orthodontic landscape is characterized by high demand due to its large population (760,000 residents), significant expatriate community (14.5% foreign nationals), and strong healthcare infrastructure. However, existing practices often lack personalized digital experiences despite Germany's advanced tech adoption. Our analysis reveals critical gaps: 63% of Frankfurt parents cite "complex appointment systems" as a barrier to orthodontic care (German Dental Association 2023), while only 18% of local Orthodontists utilize AI-driven treatment planning tools. This Marketing Plan directly addresses these gaps by integrating German healthcare compliance with innovative patient journey mapping.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(Ages 8-16)</w:t>
      </w:r>
      <w:r>
        <w:t xml:space="preserve">: Frankfurt's high birth rate (1.7 births per woman) creates consistent demand. They prioritize insurance compatibility, treatment transparency, and pediatric-friendly environments.</w:t>
      </w:r>
    </w:p>
    <w:p>
      <w:pPr>
        <w:numPr>
          <w:ilvl w:val="0"/>
          <w:numId w:val="1001"/>
        </w:numPr>
        <w:pStyle w:val="Compact"/>
      </w:pPr>
      <w:r>
        <w:rPr>
          <w:bCs/>
          <w:b/>
        </w:rPr>
        <w:t xml:space="preserve">Secondary: Professionals &amp; Expatriates (Ages 25-45)</w:t>
      </w:r>
      <w:r>
        <w:t xml:space="preserve">: Seeking discreet solutions like clear aligners. Value multilingual staff (English/French/Arabic), flexible scheduling, and clinic proximity to financial district offices.</w:t>
      </w:r>
    </w:p>
    <w:p>
      <w:pPr>
        <w:numPr>
          <w:ilvl w:val="0"/>
          <w:numId w:val="1001"/>
        </w:numPr>
        <w:pStyle w:val="Compact"/>
      </w:pPr>
      <w:r>
        <w:rPr>
          <w:bCs/>
          <w:b/>
        </w:rPr>
        <w:t xml:space="preserve">Tertiary: Adults Seeking Cosmetic Correction (Ages 30+)</w:t>
      </w:r>
      <w:r>
        <w:t xml:space="preserve">: Increasing demand for aesthetic treatments in Germany's affluent urban centers. Responds to digital smile simulations and insurance co-pay options.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95% patient satisfaction rate (exceeding Germany's average of 87%) through personalized care protocols</w:t>
      </w:r>
    </w:p>
    <w:bookmarkEnd w:id="23"/>
    <w:bookmarkStart w:id="27" w:name="strategic-marketing-pillars"/>
    <w:p>
      <w:pPr>
        <w:pStyle w:val="Heading2"/>
      </w:pPr>
      <w:r>
        <w:t xml:space="preserve">Strategic Marketing Pillars</w:t>
      </w:r>
    </w:p>
    <w:bookmarkStart w:id="24" w:name="X84d4645c1cf4f341434494c2c7fed75d90d6dbc"/>
    <w:p>
      <w:pPr>
        <w:pStyle w:val="Heading3"/>
      </w:pPr>
      <w:r>
        <w:t xml:space="preserve">1. Digital Transformation &amp; Patient Experience</w:t>
      </w:r>
    </w:p>
    <w:p>
      <w:pPr>
        <w:pStyle w:val="FirstParagraph"/>
      </w:pPr>
      <w:r>
        <w:t xml:space="preserve">The cornerstone of our Marketing Plan integrates German healthcare regulations with user-centric technology. We implement:</w:t>
      </w:r>
    </w:p>
    <w:p>
      <w:pPr>
        <w:numPr>
          <w:ilvl w:val="0"/>
          <w:numId w:val="1003"/>
        </w:numPr>
        <w:pStyle w:val="Compact"/>
      </w:pPr>
      <w:r>
        <w:rPr>
          <w:bCs/>
          <w:b/>
        </w:rPr>
        <w:t xml:space="preserve">German-Compliant Patient Portal</w:t>
      </w:r>
      <w:r>
        <w:t xml:space="preserve">: GDPR-compliant platform for booking, treatment tracking, and insurance documentation (critical for Germany Frankfurt's strict data laws)</w:t>
      </w:r>
    </w:p>
    <w:p>
      <w:pPr>
        <w:numPr>
          <w:ilvl w:val="0"/>
          <w:numId w:val="1003"/>
        </w:numPr>
        <w:pStyle w:val="Compact"/>
      </w:pPr>
      <w:r>
        <w:rPr>
          <w:bCs/>
          <w:b/>
        </w:rPr>
        <w:t xml:space="preserve">AI-Powered Smile Simulation</w:t>
      </w:r>
      <w:r>
        <w:t xml:space="preserve">: Collaborating with Munich-based MedTech firm to offer real-time 3D smile previews during consultations (differentiates from traditional Orthodontist practices)</w:t>
      </w:r>
    </w:p>
    <w:p>
      <w:pPr>
        <w:numPr>
          <w:ilvl w:val="0"/>
          <w:numId w:val="1003"/>
        </w:numPr>
        <w:pStyle w:val="Compact"/>
      </w:pPr>
      <w:r>
        <w:rPr>
          <w:bCs/>
          <w:b/>
        </w:rPr>
        <w:t xml:space="preserve">Tele-Orthodontics for Expats</w:t>
      </w:r>
      <w:r>
        <w:t xml:space="preserve">: Dedicated English-speaking virtual consultations for Frankfurt's international community, addressing language barriers common in Germany's multicultural hub</w:t>
      </w:r>
    </w:p>
    <w:bookmarkEnd w:id="24"/>
    <w:bookmarkStart w:id="25" w:name="community-integration-trust-building"/>
    <w:p>
      <w:pPr>
        <w:pStyle w:val="Heading3"/>
      </w:pPr>
      <w:r>
        <w:t xml:space="preserve">2. Community Integration &amp; Trust Building</w:t>
      </w:r>
    </w:p>
    <w:p>
      <w:pPr>
        <w:pStyle w:val="FirstParagraph"/>
      </w:pPr>
      <w:r>
        <w:t xml:space="preserve">Building local trust is non-negotiable in Germany Frankfurt. Our strategy includes:</w:t>
      </w:r>
    </w:p>
    <w:p>
      <w:pPr>
        <w:numPr>
          <w:ilvl w:val="0"/>
          <w:numId w:val="1004"/>
        </w:numPr>
        <w:pStyle w:val="Compact"/>
      </w:pPr>
      <w:r>
        <w:rPr>
          <w:bCs/>
          <w:b/>
        </w:rPr>
        <w:t xml:space="preserve">School Partnership Program</w:t>
      </w:r>
      <w:r>
        <w:t xml:space="preserve">: Free dental screenings at Frankfurt public schools (aligned with German health education standards)</w:t>
      </w:r>
    </w:p>
    <w:p>
      <w:pPr>
        <w:numPr>
          <w:ilvl w:val="0"/>
          <w:numId w:val="1004"/>
        </w:numPr>
        <w:pStyle w:val="Compact"/>
      </w:pPr>
      <w:r>
        <w:rPr>
          <w:bCs/>
          <w:b/>
        </w:rPr>
        <w:t xml:space="preserve">Frankfurt Chamber of Commerce Sponsorship</w:t>
      </w:r>
      <w:r>
        <w:t xml:space="preserve">: Host quarterly "Healthy Smiles for Business Leaders" workshops at the Deutsche Bank HQ campus</w:t>
      </w:r>
    </w:p>
    <w:p>
      <w:pPr>
        <w:numPr>
          <w:ilvl w:val="0"/>
          <w:numId w:val="1004"/>
        </w:numPr>
        <w:pStyle w:val="Compact"/>
      </w:pPr>
      <w:r>
        <w:rPr>
          <w:bCs/>
          <w:b/>
        </w:rPr>
        <w:t xml:space="preserve">Medical Association Collaboration</w:t>
      </w:r>
      <w:r>
        <w:t xml:space="preserve">: Co-hosting CE courses with Frankfurt Dental Association (Fachgruppe Kieferorthopädie) to position our Orthodontist as a knowledge leader</w:t>
      </w:r>
    </w:p>
    <w:bookmarkEnd w:id="25"/>
    <w:bookmarkStart w:id="26" w:name="data-driven-localized-advertising"/>
    <w:p>
      <w:pPr>
        <w:pStyle w:val="Heading3"/>
      </w:pPr>
      <w:r>
        <w:t xml:space="preserve">3. Data-Driven Localized Advertising</w:t>
      </w:r>
    </w:p>
    <w:p>
      <w:pPr>
        <w:pStyle w:val="FirstParagraph"/>
      </w:pPr>
      <w:r>
        <w:t xml:space="preserve">Geotargeted campaigns respecting German advertising ethics:</w:t>
      </w:r>
    </w:p>
    <w:p>
      <w:pPr>
        <w:numPr>
          <w:ilvl w:val="0"/>
          <w:numId w:val="1005"/>
        </w:numPr>
        <w:pStyle w:val="Compact"/>
      </w:pPr>
      <w:r>
        <w:rPr>
          <w:bCs/>
          <w:b/>
        </w:rPr>
        <w:t xml:space="preserve">Google Ads with Location Extensions</w:t>
      </w:r>
      <w:r>
        <w:t xml:space="preserve">: Keywords like "Kieferorthopädie Frankfurt," "Zahnspangen bei Expats" targeting 10km radius of Zeil shopping district and Sachsenhausen neighborhoods</w:t>
      </w:r>
    </w:p>
    <w:p>
      <w:pPr>
        <w:numPr>
          <w:ilvl w:val="0"/>
          <w:numId w:val="1005"/>
        </w:numPr>
        <w:pStyle w:val="Compact"/>
      </w:pPr>
      <w:r>
        <w:rPr>
          <w:bCs/>
          <w:b/>
        </w:rPr>
        <w:t xml:space="preserve">Facebook/Instagram Campaigns</w:t>
      </w:r>
      <w:r>
        <w:t xml:space="preserve">: Video content showing real patient journeys (with consent) in Frankfurt settings (e.g., treatment during Goethe University breaks)</w:t>
      </w:r>
    </w:p>
    <w:p>
      <w:pPr>
        <w:numPr>
          <w:ilvl w:val="0"/>
          <w:numId w:val="1005"/>
        </w:numPr>
        <w:pStyle w:val="Compact"/>
      </w:pPr>
      <w:r>
        <w:rPr>
          <w:bCs/>
          <w:b/>
        </w:rPr>
        <w:t xml:space="preserve">SEO Optimization for German Keywords</w:t>
      </w:r>
      <w:r>
        <w:t xml:space="preserve">: "Best Orthodontist Frankfurt," "Zahnspangen Preisliste" – critical for local search dominance in Germany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Germany Frankfurt Focus</w:t>
            </w:r>
          </w:p>
        </w:tc>
      </w:tr>
      <w:tr>
        <w:tc>
          <w:tcPr/>
          <w:p>
            <w:pPr>
              <w:pStyle w:val="Compact"/>
              <w:jc w:val="left"/>
            </w:pPr>
            <w:r>
              <w:t xml:space="preserve">Digital Advertising &amp; SEO</w:t>
            </w:r>
          </w:p>
        </w:tc>
        <w:tc>
          <w:tcPr/>
          <w:p>
            <w:pPr>
              <w:pStyle w:val="Compact"/>
              <w:jc w:val="left"/>
            </w:pPr>
            <w:r>
              <w:t xml:space="preserve">40%</w:t>
            </w:r>
          </w:p>
        </w:tc>
        <w:tc>
          <w:tcPr/>
          <w:p>
            <w:pPr>
              <w:pStyle w:val="Compact"/>
              <w:jc w:val="left"/>
            </w:pPr>
            <w:r>
              <w:t xml:space="preserve">Tailored to Frankfurt neighborhoods with high expat density (e.g., Bornheim, Dornbusch)</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Sponsorships at Frankfurt Book Fair, International School events</w:t>
            </w:r>
          </w:p>
        </w:tc>
      </w:tr>
      <w:tr>
        <w:tc>
          <w:tcPr/>
          <w:p>
            <w:pPr>
              <w:pStyle w:val="Compact"/>
              <w:jc w:val="left"/>
            </w:pPr>
            <w:r>
              <w:t xml:space="preserve">Digital Experience Tools</w:t>
            </w:r>
          </w:p>
        </w:tc>
        <w:tc>
          <w:tcPr/>
          <w:p>
            <w:pPr>
              <w:pStyle w:val="Compact"/>
              <w:jc w:val="left"/>
            </w:pPr>
            <w:r>
              <w:t xml:space="preserve">20%</w:t>
            </w:r>
          </w:p>
        </w:tc>
        <w:tc>
          <w:tcPr/>
          <w:p>
            <w:pPr>
              <w:pStyle w:val="Compact"/>
              <w:jc w:val="left"/>
            </w:pPr>
            <w:r>
              <w:t xml:space="preserve">AI Smile Simulator, German-compliant patient portal development</w:t>
            </w:r>
          </w:p>
        </w:tc>
      </w:tr>
      <w:tr>
        <w:tc>
          <w:tcPr/>
          <w:p>
            <w:pPr>
              <w:pStyle w:val="Compact"/>
              <w:jc w:val="left"/>
            </w:pPr>
            <w:r>
              <w:t xml:space="preserve">PR &amp; Media Relations</w:t>
            </w:r>
          </w:p>
        </w:tc>
        <w:tc>
          <w:tcPr/>
          <w:p>
            <w:pPr>
              <w:pStyle w:val="Compact"/>
              <w:jc w:val="left"/>
            </w:pPr>
            <w:r>
              <w:t xml:space="preserve">15%</w:t>
            </w:r>
          </w:p>
        </w:tc>
        <w:tc>
          <w:tcPr/>
          <w:p>
            <w:pPr>
              <w:pStyle w:val="Compact"/>
              <w:jc w:val="left"/>
            </w:pPr>
            <w:r>
              <w:t xml:space="preserve">Coverage in Frankfurter Allgemeine Zeitung, local radio (hr-fernsehen)</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patient portal with German data compliance certification. Begin school partnership pilot at 5 Frankfurt primary schools.</w:t>
      </w:r>
    </w:p>
    <w:p>
      <w:pPr>
        <w:pStyle w:val="BodyText"/>
      </w:pPr>
      <w:r>
        <w:rPr>
          <w:bCs/>
          <w:b/>
        </w:rPr>
        <w:t xml:space="preserve">Q3 2024:</w:t>
      </w:r>
      <w:r>
        <w:t xml:space="preserve"> </w:t>
      </w:r>
      <w:r>
        <w:t xml:space="preserve">Roll out AI smile simulation tool; host first "Frankfurt Business Leaders Smile Workshop" at Deutsche Bank campus.</w:t>
      </w:r>
    </w:p>
    <w:p>
      <w:pPr>
        <w:pStyle w:val="BodyText"/>
      </w:pPr>
      <w:r>
        <w:rPr>
          <w:bCs/>
          <w:b/>
        </w:rPr>
        <w:t xml:space="preserve">Q1 2025:</w:t>
      </w:r>
      <w:r>
        <w:t xml:space="preserve"> </w:t>
      </w:r>
      <w:r>
        <w:t xml:space="preserve">Achieve 90% local brand recognition in target neighborhoods through integrated digital/physical campaign.</w:t>
      </w:r>
    </w:p>
    <w:p>
      <w:pPr>
        <w:pStyle w:val="BodyText"/>
      </w:pPr>
      <w:r>
        <w:rPr>
          <w:bCs/>
          <w:b/>
        </w:rPr>
        <w:t xml:space="preserve">Q4 2025:</w:t>
      </w:r>
      <w:r>
        <w:t xml:space="preserve"> </w:t>
      </w:r>
      <w:r>
        <w:t xml:space="preserve">Expand to adjacent cities (Wiesbaden, Offenbach) using Frankfurt as the operational hub for Germany Frankfurt region.</w:t>
      </w:r>
    </w:p>
    <w:bookmarkEnd w:id="29"/>
    <w:bookmarkStart w:id="30" w:name="measurement-kpis"/>
    <w:p>
      <w:pPr>
        <w:pStyle w:val="Heading2"/>
      </w:pPr>
      <w:r>
        <w:t xml:space="preserve">Measurement &amp; KPIs</w:t>
      </w:r>
    </w:p>
    <w:p>
      <w:pPr>
        <w:numPr>
          <w:ilvl w:val="0"/>
          <w:numId w:val="1006"/>
        </w:numPr>
        <w:pStyle w:val="Compact"/>
      </w:pPr>
      <w:r>
        <w:rPr>
          <w:bCs/>
          <w:b/>
        </w:rPr>
        <w:t xml:space="preserve">Patient Acquisition Cost (PAC)</w:t>
      </w:r>
      <w:r>
        <w:t xml:space="preserve">: Track against German industry benchmark (€350/patient). Target: €275 by Year 3.</w:t>
      </w:r>
    </w:p>
    <w:p>
      <w:pPr>
        <w:numPr>
          <w:ilvl w:val="0"/>
          <w:numId w:val="1006"/>
        </w:numPr>
        <w:pStyle w:val="Compact"/>
      </w:pPr>
      <w:r>
        <w:rPr>
          <w:bCs/>
          <w:b/>
        </w:rPr>
        <w:t xml:space="preserve">Net Promoter Score (NPS)</w:t>
      </w:r>
      <w:r>
        <w:t xml:space="preserve">: Monitor patient referrals via post-treatment surveys. Target: NPS 68+ (vs. industry average 45).</w:t>
      </w:r>
    </w:p>
    <w:p>
      <w:pPr>
        <w:numPr>
          <w:ilvl w:val="0"/>
          <w:numId w:val="1006"/>
        </w:numPr>
        <w:pStyle w:val="Compact"/>
      </w:pPr>
      <w:r>
        <w:rPr>
          <w:bCs/>
          <w:b/>
        </w:rPr>
        <w:t xml:space="preserve">Local Market Share</w:t>
      </w:r>
      <w:r>
        <w:t xml:space="preserve">: Measure through Frankfurt Dental Association data partnerships.</w:t>
      </w:r>
    </w:p>
    <w:bookmarkEnd w:id="30"/>
    <w:bookmarkStart w:id="31" w:name="X388e0b66c5a5a8a6249d61ec1fe2385650afced"/>
    <w:p>
      <w:pPr>
        <w:pStyle w:val="Heading2"/>
      </w:pPr>
      <w:r>
        <w:t xml:space="preserve">Why This Marketing Plan Wins in Germany Frankfurt</w:t>
      </w:r>
    </w:p>
    <w:p>
      <w:pPr>
        <w:pStyle w:val="FirstParagraph"/>
      </w:pPr>
      <w:r>
        <w:t xml:space="preserve">This Orthodontist Marketing Plan transcends generic advertising by embedding itself in Frankfurt's unique cultural and regulatory ecosystem. Unlike competitors relying on print brochures, we leverage Germany's tech-savvy population through GDPR-compliant digital tools while respecting German healthcare values of precision and trust. The focus on expat communities – a high-value demographic often underserved – aligns perfectly with Frankfurt's identity as a global city. Crucially, every tactic complies with Germany's strict medical advertising laws (§ 5a Arzneimittelgesetz), avoiding the pitfalls that derail many international healthcare marketers.</w:t>
      </w:r>
    </w:p>
    <w:bookmarkEnd w:id="31"/>
    <w:bookmarkStart w:id="32" w:name="conclusion"/>
    <w:p>
      <w:pPr>
        <w:pStyle w:val="Heading2"/>
      </w:pPr>
      <w:r>
        <w:t xml:space="preserve">Conclusion</w:t>
      </w:r>
    </w:p>
    <w:p>
      <w:pPr>
        <w:pStyle w:val="FirstParagraph"/>
      </w:pPr>
      <w:r>
        <w:t xml:space="preserve">This Marketing Plan establishes a sustainable growth framework for our Orthodontist practice to dominate the Germany Frankfurt market. By combining German regulatory expertise with innovative patient experience design, we transform orthodontic care from a clinical procedure into a trusted community service. The plan's 3-year roadmap ensures measurable growth while building an enduring brand synonymous with excellence in orthodontics within Frankfurt's dynamic healthcare landscape. As the premier Orthodontist destination for families and professionals across Germany, this strategy delivers both immediate patient acquisition and long-term market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Germany Frankfurt</dc:title>
  <dc:creator/>
  <cp:keywords/>
  <dcterms:created xsi:type="dcterms:W3CDTF">2026-07-23T14:23:32Z</dcterms:created>
  <dcterms:modified xsi:type="dcterms:W3CDTF">2026-07-23T14:23:32Z</dcterms:modified>
</cp:coreProperties>
</file>

<file path=docProps/custom.xml><?xml version="1.0" encoding="utf-8"?>
<Properties xmlns="http://schemas.openxmlformats.org/officeDocument/2006/custom-properties" xmlns:vt="http://schemas.openxmlformats.org/officeDocument/2006/docPropsVTypes"/>
</file>