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Lima,</w:t>
      </w:r>
      <w:r>
        <w:t xml:space="preserve"> </w:t>
      </w:r>
      <w:r>
        <w:t xml:space="preserve">Peru</w:t>
      </w:r>
    </w:p>
    <w:bookmarkStart w:id="33" w:name="X3e969c68c62da549ecb48478178f2f5695e26f3"/>
    <w:p>
      <w:pPr>
        <w:pStyle w:val="Heading1"/>
      </w:pPr>
      <w:r>
        <w:t xml:space="preserve">Comprehensive Marketing Plan for Orthodontist Practice in Lima, Peru</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orthodontic practice in the competitive healthcare landscape of Peru Lima. Targeting the rapidly expanding middle and upper-middle class population seeking aesthetic dental solutions, this plan leverages cultural nuances, digital transformation, and community engagement to position our practice as Lima's leading orthodontic destination. With Peru's dental tourism sector growing at 8% annually and Lima housing 30% of Peru's population (over 10 million people), we project capturing 5% market share within three years through tailored strategies addressing local preferences for discreet, high-quality care.</w:t>
      </w:r>
    </w:p>
    <w:bookmarkEnd w:id="20"/>
    <w:bookmarkStart w:id="21" w:name="Xcd3628d48edad8df1ef5a82083ef31770427431"/>
    <w:p>
      <w:pPr>
        <w:pStyle w:val="Heading2"/>
      </w:pPr>
      <w:r>
        <w:t xml:space="preserve">Market Analysis: Orthodontic Demand in Peru Lima</w:t>
      </w:r>
    </w:p>
    <w:p>
      <w:pPr>
        <w:pStyle w:val="FirstParagraph"/>
      </w:pPr>
      <w:r>
        <w:t xml:space="preserve">Lima presents unique opportunities driven by socioeconomic factors. The Peruvian middle class (18 million people) increasingly prioritizes cosmetic dentistry, with 68% of adults expressing interest in teeth straightening per the 2023 National Dental Survey. However, traditional orthodontic services face challenges: long wait times at public clinics, limited Spanish-language digital resources, and cultural hesitation toward Western dental aesthetics. Our research identifies three key segments:</w:t>
      </w:r>
    </w:p>
    <w:p>
      <w:pPr>
        <w:numPr>
          <w:ilvl w:val="0"/>
          <w:numId w:val="1001"/>
        </w:numPr>
        <w:pStyle w:val="Compact"/>
      </w:pPr>
      <w:r>
        <w:rPr>
          <w:bCs/>
          <w:b/>
        </w:rPr>
        <w:t xml:space="preserve">Young Professionals (18-35):</w:t>
      </w:r>
      <w:r>
        <w:t xml:space="preserve"> </w:t>
      </w:r>
      <w:r>
        <w:t xml:space="preserve">Seeking discreet solutions like clear aligners for career advancement.</w:t>
      </w:r>
    </w:p>
    <w:p>
      <w:pPr>
        <w:numPr>
          <w:ilvl w:val="0"/>
          <w:numId w:val="1001"/>
        </w:numPr>
        <w:pStyle w:val="Compact"/>
      </w:pPr>
      <w:r>
        <w:rPr>
          <w:bCs/>
          <w:b/>
        </w:rPr>
        <w:t xml:space="preserve">Parents of School-Age Children (30-45):</w:t>
      </w:r>
      <w:r>
        <w:t xml:space="preserve"> </w:t>
      </w:r>
      <w:r>
        <w:t xml:space="preserve">Prioritizing early intervention and family discounts.</w:t>
      </w:r>
    </w:p>
    <w:p>
      <w:pPr>
        <w:numPr>
          <w:ilvl w:val="0"/>
          <w:numId w:val="1001"/>
        </w:numPr>
        <w:pStyle w:val="Compact"/>
      </w:pPr>
      <w:r>
        <w:rPr>
          <w:bCs/>
          <w:b/>
        </w:rPr>
        <w:t xml:space="preserve">Middle-Aged Professionals (40-60):</w:t>
      </w:r>
      <w:r>
        <w:t xml:space="preserve"> </w:t>
      </w:r>
      <w:r>
        <w:t xml:space="preserve">Demanding premium services with minimal disruption to lifestyles.</w:t>
      </w:r>
    </w:p>
    <w:p>
      <w:pPr>
        <w:pStyle w:val="FirstParagraph"/>
      </w:pPr>
      <w:r>
        <w:t xml:space="preserve">The local market remains underserved, with only 1.2 orthodontists per 100,000 residents in Lima versus the global benchmark of 5.3—creating significant growth potential for our practice.</w:t>
      </w:r>
    </w:p>
    <w:bookmarkEnd w:id="21"/>
    <w:bookmarkStart w:id="22" w:name="competitive-differentiation"/>
    <w:p>
      <w:pPr>
        <w:pStyle w:val="Heading2"/>
      </w:pPr>
      <w:r>
        <w:t xml:space="preserve">Competitive Differentiation</w:t>
      </w:r>
    </w:p>
    <w:p>
      <w:pPr>
        <w:pStyle w:val="FirstParagraph"/>
      </w:pPr>
      <w:r>
        <w:t xml:space="preserve">Unlike competitors focusing solely on braces, our orthodontist practice will differentiate through:</w:t>
      </w:r>
    </w:p>
    <w:p>
      <w:pPr>
        <w:numPr>
          <w:ilvl w:val="0"/>
          <w:numId w:val="1002"/>
        </w:numPr>
        <w:pStyle w:val="Compact"/>
      </w:pPr>
      <w:r>
        <w:rPr>
          <w:bCs/>
          <w:b/>
        </w:rPr>
        <w:t xml:space="preserve">Culturally Tailored Solutions:</w:t>
      </w:r>
      <w:r>
        <w:t xml:space="preserve"> </w:t>
      </w:r>
      <w:r>
        <w:t xml:space="preserve">Offering Spanish-language virtual consultations and payment plans aligned with local fiscal calendars (e.g., "Bono de Invierno" holidays).</w:t>
      </w:r>
    </w:p>
    <w:p>
      <w:pPr>
        <w:numPr>
          <w:ilvl w:val="0"/>
          <w:numId w:val="1002"/>
        </w:numPr>
        <w:pStyle w:val="Compact"/>
      </w:pPr>
      <w:r>
        <w:rPr>
          <w:bCs/>
          <w:b/>
        </w:rPr>
        <w:t xml:space="preserve">Technology Integration:</w:t>
      </w:r>
      <w:r>
        <w:t xml:space="preserve"> </w:t>
      </w:r>
      <w:r>
        <w:t xml:space="preserve">Implementing AI-driven smile simulations for visualizing treatment outcomes, addressing Lima's preference for tangible previews.</w:t>
      </w:r>
    </w:p>
    <w:p>
      <w:pPr>
        <w:numPr>
          <w:ilvl w:val="0"/>
          <w:numId w:val="1002"/>
        </w:numPr>
        <w:pStyle w:val="Compact"/>
      </w:pPr>
      <w:r>
        <w:rPr>
          <w:bCs/>
          <w:b/>
        </w:rPr>
        <w:t xml:space="preserve">Community Health Partnerships:</w:t>
      </w:r>
      <w:r>
        <w:t xml:space="preserve"> </w:t>
      </w:r>
      <w:r>
        <w:t xml:space="preserve">Collaborating with Peruvian schools (e.g., "Programa de Salud Bucale" in public schools) to provide free screenings, building trust and visibility.</w:t>
      </w:r>
    </w:p>
    <w:bookmarkEnd w:id="22"/>
    <w:bookmarkStart w:id="23" w:name="marketing-objectives-12-36-months"/>
    <w:p>
      <w:pPr>
        <w:pStyle w:val="Heading2"/>
      </w:pPr>
      <w:r>
        <w:t xml:space="preserve">Marketing Objectives (12-36 Months)</w:t>
      </w:r>
    </w:p>
    <w:p>
      <w:pPr>
        <w:numPr>
          <w:ilvl w:val="0"/>
          <w:numId w:val="1003"/>
        </w:numPr>
        <w:pStyle w:val="Compact"/>
      </w:pPr>
      <w:r>
        <w:t xml:space="preserve">Attain 15% brand recognition among Lima residents aged 18-45 within two years through hyperlocal campaigns.</w:t>
      </w:r>
    </w:p>
    <w:p>
      <w:pPr>
        <w:numPr>
          <w:ilvl w:val="0"/>
          <w:numId w:val="1003"/>
        </w:numPr>
        <w:pStyle w:val="Compact"/>
      </w:pPr>
      <w:r>
        <w:t xml:space="preserve">Achieve 40% patient acquisition via digital channels by Year 3 (vs. industry average of 25%).</w:t>
      </w:r>
    </w:p>
    <w:p>
      <w:pPr>
        <w:numPr>
          <w:ilvl w:val="0"/>
          <w:numId w:val="1003"/>
        </w:numPr>
        <w:pStyle w:val="Compact"/>
      </w:pPr>
      <w:r>
        <w:t xml:space="preserve">Secure partnerships with 15 local businesses (e.g., dental insurance providers, beauty salons) for cross-promotion.</w:t>
      </w:r>
    </w:p>
    <w:p>
      <w:pPr>
        <w:numPr>
          <w:ilvl w:val="0"/>
          <w:numId w:val="1003"/>
        </w:numPr>
        <w:pStyle w:val="Compact"/>
      </w:pPr>
      <w:r>
        <w:t xml:space="preserve">Grow patient base from 200 to 1,800 within three years while maintaining a 92% patient retention rate.</w:t>
      </w:r>
    </w:p>
    <w:bookmarkEnd w:id="23"/>
    <w:bookmarkStart w:id="28" w:name="strategic-marketing-mix"/>
    <w:p>
      <w:pPr>
        <w:pStyle w:val="Heading2"/>
      </w:pPr>
      <w:r>
        <w:t xml:space="preserve">Strategic Marketing Mix</w:t>
      </w:r>
    </w:p>
    <w:bookmarkStart w:id="24" w:name="Xdd0075f2b7ef1c6670386c203c597fa5db51862"/>
    <w:p>
      <w:pPr>
        <w:pStyle w:val="Heading3"/>
      </w:pPr>
      <w:r>
        <w:t xml:space="preserve">Product Strategy: Orthodontic Services Customized for Lima</w:t>
      </w:r>
    </w:p>
    <w:p>
      <w:pPr>
        <w:pStyle w:val="FirstParagraph"/>
      </w:pPr>
      <w:r>
        <w:t xml:space="preserve">We will launch with four service pillars:</w:t>
      </w:r>
    </w:p>
    <w:p>
      <w:pPr>
        <w:numPr>
          <w:ilvl w:val="0"/>
          <w:numId w:val="1004"/>
        </w:numPr>
        <w:pStyle w:val="Compact"/>
      </w:pPr>
      <w:r>
        <w:rPr>
          <w:bCs/>
          <w:b/>
        </w:rPr>
        <w:t xml:space="preserve">Discreet Aligners:</w:t>
      </w:r>
      <w:r>
        <w:t xml:space="preserve"> </w:t>
      </w:r>
      <w:r>
        <w:t xml:space="preserve">Leading clear aligner systems (e.g., Invisalign) marketed as "Máscaras de Sonrisa" to align with Peruvian cultural values of grace during social interactions.</w:t>
      </w:r>
    </w:p>
    <w:p>
      <w:pPr>
        <w:numPr>
          <w:ilvl w:val="0"/>
          <w:numId w:val="1004"/>
        </w:numPr>
        <w:pStyle w:val="Compact"/>
      </w:pPr>
      <w:r>
        <w:rPr>
          <w:bCs/>
          <w:b/>
        </w:rPr>
        <w:t xml:space="preserve">Early Intervention Program:</w:t>
      </w:r>
      <w:r>
        <w:t xml:space="preserve"> </w:t>
      </w:r>
      <w:r>
        <w:t xml:space="preserve">"Sonrisa en Edad Precoz" for children 7-12, addressing Lima's high rate of dental trauma from street food culture.</w:t>
      </w:r>
    </w:p>
    <w:p>
      <w:pPr>
        <w:numPr>
          <w:ilvl w:val="0"/>
          <w:numId w:val="1004"/>
        </w:numPr>
        <w:pStyle w:val="Compact"/>
      </w:pPr>
      <w:r>
        <w:rPr>
          <w:bCs/>
          <w:b/>
        </w:rPr>
        <w:t xml:space="preserve">Family Packages:</w:t>
      </w:r>
      <w:r>
        <w:t xml:space="preserve"> </w:t>
      </w:r>
      <w:r>
        <w:t xml:space="preserve">"Paquete Familiar" with discounted rates for siblings and parents, appealing to Lima's strong family-oriented culture.</w:t>
      </w:r>
    </w:p>
    <w:p>
      <w:pPr>
        <w:numPr>
          <w:ilvl w:val="0"/>
          <w:numId w:val="1004"/>
        </w:numPr>
        <w:pStyle w:val="Compact"/>
      </w:pPr>
      <w:r>
        <w:rPr>
          <w:bCs/>
          <w:b/>
        </w:rPr>
        <w:t xml:space="preserve">Emergency Care:</w:t>
      </w:r>
      <w:r>
        <w:t xml:space="preserve"> </w:t>
      </w:r>
      <w:r>
        <w:t xml:space="preserve">24/7 hotline for orthodontic emergencies (e.g., broken wires), resolving a critical service gap.</w:t>
      </w:r>
    </w:p>
    <w:bookmarkEnd w:id="24"/>
    <w:bookmarkStart w:id="25" w:name="pricing-strategy-value-based-accessible"/>
    <w:p>
      <w:pPr>
        <w:pStyle w:val="Heading3"/>
      </w:pPr>
      <w:r>
        <w:t xml:space="preserve">Pricing Strategy: Value-Based &amp; Accessible</w:t>
      </w:r>
    </w:p>
    <w:p>
      <w:pPr>
        <w:pStyle w:val="FirstParagraph"/>
      </w:pPr>
      <w:r>
        <w:t xml:space="preserve">Avoiding Lima's common trap of price wars, we implement tiered pricing:</w:t>
      </w:r>
    </w:p>
    <w:p>
      <w:pPr>
        <w:numPr>
          <w:ilvl w:val="0"/>
          <w:numId w:val="1005"/>
        </w:numPr>
        <w:pStyle w:val="Compact"/>
      </w:pPr>
      <w:r>
        <w:rPr>
          <w:bCs/>
          <w:b/>
        </w:rPr>
        <w:t xml:space="preserve">Basic:</w:t>
      </w:r>
      <w:r>
        <w:t xml:space="preserve"> </w:t>
      </w:r>
      <w:r>
        <w:t xml:space="preserve">Traditional braces at S/ 2,500 (USD $650) for budget-conscious patients.</w:t>
      </w:r>
    </w:p>
    <w:p>
      <w:pPr>
        <w:numPr>
          <w:ilvl w:val="0"/>
          <w:numId w:val="1005"/>
        </w:numPr>
        <w:pStyle w:val="Compact"/>
      </w:pPr>
      <w:r>
        <w:rPr>
          <w:bCs/>
          <w:b/>
        </w:rPr>
        <w:t xml:space="preserve">Premium:</w:t>
      </w:r>
      <w:r>
        <w:t xml:space="preserve"> </w:t>
      </w:r>
      <w:r>
        <w:t xml:space="preserve">Invisalign with AI smile design at S/ 4,800 (USD $1,250), emphasizing quality over cost.</w:t>
      </w:r>
    </w:p>
    <w:p>
      <w:pPr>
        <w:numPr>
          <w:ilvl w:val="0"/>
          <w:numId w:val="1005"/>
        </w:numPr>
        <w:pStyle w:val="Compact"/>
      </w:pPr>
      <w:r>
        <w:rPr>
          <w:bCs/>
          <w:b/>
        </w:rPr>
        <w:t xml:space="preserve">Family Discount:</w:t>
      </w:r>
      <w:r>
        <w:t xml:space="preserve"> </w:t>
      </w:r>
      <w:r>
        <w:t xml:space="preserve">25% off second child's treatment to incentivize referrals.</w:t>
      </w:r>
    </w:p>
    <w:p>
      <w:pPr>
        <w:pStyle w:val="FirstParagraph"/>
      </w:pPr>
      <w:r>
        <w:t xml:space="preserve">Payment plans via Lima's major banks (e.g., BBVA, Banco de Credito) will offer interest-free installments up to 18 months, aligning with Peruvian consumer behavior of avoiding debt during holiday seasons.</w:t>
      </w:r>
    </w:p>
    <w:bookmarkEnd w:id="25"/>
    <w:bookmarkStart w:id="26" w:name="X9e203f7cd69f6d9677e6e041b4e52ec67e0c221"/>
    <w:p>
      <w:pPr>
        <w:pStyle w:val="Heading3"/>
      </w:pPr>
      <w:r>
        <w:t xml:space="preserve">Place Strategy: Optimal Location &amp; Digital Access</w:t>
      </w:r>
    </w:p>
    <w:p>
      <w:pPr>
        <w:pStyle w:val="FirstParagraph"/>
      </w:pPr>
      <w:r>
        <w:t xml:space="preserve">The practice will be situated in Miraflores—Lima's most affluent district with high foot traffic near upscale malls (e.g., Mall Plaza) and corporate hubs. This location strategically positions us within the primary target demographic's daily routines. Complementing physical presence, we develop a mobile-responsive platform with:</w:t>
      </w:r>
    </w:p>
    <w:p>
      <w:pPr>
        <w:numPr>
          <w:ilvl w:val="0"/>
          <w:numId w:val="1006"/>
        </w:numPr>
        <w:pStyle w:val="Compact"/>
      </w:pPr>
      <w:r>
        <w:t xml:space="preserve">Spanish-only interface integrated with Peruvian social media (Facebook, WhatsApp).</w:t>
      </w:r>
    </w:p>
    <w:p>
      <w:pPr>
        <w:numPr>
          <w:ilvl w:val="0"/>
          <w:numId w:val="1006"/>
        </w:numPr>
        <w:pStyle w:val="Compact"/>
      </w:pPr>
      <w:r>
        <w:t xml:space="preserve">AI chatbot for instant appointment scheduling during local business hours (8 AM–8 PM).</w:t>
      </w:r>
    </w:p>
    <w:p>
      <w:pPr>
        <w:numPr>
          <w:ilvl w:val="0"/>
          <w:numId w:val="1006"/>
        </w:numPr>
        <w:pStyle w:val="Compact"/>
      </w:pPr>
      <w:r>
        <w:t xml:space="preserve">Geo-targeted Google Ads focusing on Lima neighborhoods like San Isidro and Surco.</w:t>
      </w:r>
    </w:p>
    <w:bookmarkEnd w:id="26"/>
    <w:bookmarkStart w:id="27" w:name="X168eb6dd096977756e3baf9a2025f90b48cba7f"/>
    <w:p>
      <w:pPr>
        <w:pStyle w:val="Heading3"/>
      </w:pPr>
      <w:r>
        <w:t xml:space="preserve">Promotion Strategy: Community-Centric Campaigns</w:t>
      </w:r>
    </w:p>
    <w:p>
      <w:pPr>
        <w:pStyle w:val="FirstParagraph"/>
      </w:pPr>
      <w:r>
        <w:t xml:space="preserve">Our promotional mix combines digital precision with community trust-building:</w:t>
      </w:r>
    </w:p>
    <w:p>
      <w:pPr>
        <w:numPr>
          <w:ilvl w:val="0"/>
          <w:numId w:val="1007"/>
        </w:numPr>
        <w:pStyle w:val="Compact"/>
      </w:pPr>
      <w:r>
        <w:rPr>
          <w:bCs/>
          <w:b/>
        </w:rPr>
        <w:t xml:space="preserve">Digital:</w:t>
      </w:r>
      <w:r>
        <w:t xml:space="preserve"> </w:t>
      </w:r>
      <w:r>
        <w:t xml:space="preserve">Targeted Instagram/Facebook ads using Peruvian influencers (e.g., local celebrities like Gian Marco) showcasing "before/after" transformations in Lima settings (beaches, markets). Budget: 45% of total marketing spend.</w:t>
      </w:r>
    </w:p>
    <w:p>
      <w:pPr>
        <w:numPr>
          <w:ilvl w:val="0"/>
          <w:numId w:val="1007"/>
        </w:numPr>
        <w:pStyle w:val="Compact"/>
      </w:pPr>
      <w:r>
        <w:rPr>
          <w:bCs/>
          <w:b/>
        </w:rPr>
        <w:t xml:space="preserve">Offline:</w:t>
      </w:r>
      <w:r>
        <w:t xml:space="preserve"> </w:t>
      </w:r>
      <w:r>
        <w:t xml:space="preserve">Sponsorship of Lima's annual "Fiesta de la Cebolla" festival with free dental screenings at the event. Distribute branded "Cuida Tu Sonrisa" (Care for Your Smile) pamphlets in Spanish at popular restaurants like La Mar and Pisco Bar.</w:t>
      </w:r>
    </w:p>
    <w:p>
      <w:pPr>
        <w:numPr>
          <w:ilvl w:val="0"/>
          <w:numId w:val="1007"/>
        </w:numPr>
        <w:pStyle w:val="Compact"/>
      </w:pPr>
      <w:r>
        <w:rPr>
          <w:bCs/>
          <w:b/>
        </w:rPr>
        <w:t xml:space="preserve">Public Relations:</w:t>
      </w:r>
      <w:r>
        <w:t xml:space="preserve"> </w:t>
      </w:r>
      <w:r>
        <w:t xml:space="preserve">Press partnerships with Peruvian media (e.g., El Comercio, América Noticias) for expert articles on "Orthodontics and Cultural Identity in Peru," emphasizing how treatment preserves traditional expressions during celebrations like carnivals.</w:t>
      </w:r>
    </w:p>
    <w:p>
      <w:pPr>
        <w:numPr>
          <w:ilvl w:val="0"/>
          <w:numId w:val="1007"/>
        </w:numPr>
        <w:pStyle w:val="Compact"/>
      </w:pPr>
      <w:r>
        <w:rPr>
          <w:bCs/>
          <w:b/>
        </w:rPr>
        <w:t xml:space="preserve">Loyalty Program:</w:t>
      </w:r>
      <w:r>
        <w:t xml:space="preserve"> </w:t>
      </w:r>
      <w:r>
        <w:t xml:space="preserve">"Sistema de Estrellas" rewarding patients with points redeemable for cosmetic dental services (e.g., whitening), fostering repeat visits.</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Primary Goal</w:t>
      </w:r>
    </w:p>
    <w:p>
      <w:pPr>
        <w:pStyle w:val="BodyText"/>
      </w:pPr>
      <w:r>
        <w:t xml:space="preserve">Digital Advertising (Meta, Google)</w:t>
      </w:r>
    </w:p>
    <w:p>
      <w:pPr>
        <w:pStyle w:val="BodyText"/>
      </w:pPr>
      <w:r>
        <w:t xml:space="preserve">45%</w:t>
      </w:r>
    </w:p>
    <w:p>
      <w:pPr>
        <w:pStyle w:val="BodyText"/>
      </w:pPr>
      <w:r>
        <w:t xml:space="preserve">Patient acquisition in target age groups</w:t>
      </w:r>
    </w:p>
    <w:p>
      <w:pPr>
        <w:pStyle w:val="BodyText"/>
      </w:pPr>
      <w:r>
        <w:t xml:space="preserve">Community Events &amp; Sponsorships</w:t>
      </w:r>
    </w:p>
    <w:p>
      <w:pPr>
        <w:pStyle w:val="BodyText"/>
      </w:pPr>
      <w:r>
        <w:t xml:space="preserve">d 25%d</w:t>
      </w:r>
    </w:p>
    <w:p>
      <w:pPr>
        <w:pStyle w:val="BodyText"/>
      </w:pPr>
      <w:r>
        <w:t xml:space="preserve">Brand trust building</w:t>
      </w:r>
    </w:p>
    <w:p>
      <w:pPr>
        <w:pStyle w:val="BodyText"/>
      </w:pPr>
      <w:r>
        <w:t xml:space="preserve">Patient Referral Programd</w:t>
      </w:r>
    </w:p>
    <w:p>
      <w:pPr>
        <w:pStyle w:val="BodyText"/>
      </w:pPr>
      <w:r>
        <w:t xml:space="preserve">15%</w:t>
      </w:r>
    </w:p>
    <w:p>
      <w:pPr>
        <w:pStyle w:val="BodyText"/>
      </w:pPr>
      <w:r>
        <w:t xml:space="preserve">Patient retention through word-of-mouth</w:t>
      </w:r>
    </w:p>
    <w:p>
      <w:pPr>
        <w:pStyle w:val="BodyText"/>
      </w:pPr>
      <w:r>
        <w:t xml:space="preserve">Content Creation (Videos, Blogs)</w:t>
      </w:r>
    </w:p>
    <w:p>
      <w:pPr>
        <w:pStyle w:val="BodyText"/>
      </w:pPr>
      <w:r>
        <w:t xml:space="preserve">10%</w:t>
      </w:r>
    </w:p>
    <w:p>
      <w:pPr>
        <w:pStyle w:val="BodyText"/>
      </w:pPr>
      <w:r>
        <w:t xml:space="preserve">Cultural education on orthodontic benefits</w:t>
      </w:r>
    </w:p>
    <w:p>
      <w:pPr>
        <w:pStyle w:val="BodyText"/>
      </w:pPr>
      <w:r>
        <w:t xml:space="preserve">Contingency &amp; Analytics</w:t>
      </w:r>
    </w:p>
    <w:p>
      <w:pPr>
        <w:pStyle w:val="BodyText"/>
      </w:pPr>
      <w:r>
        <w:t xml:space="preserve">5%Metric tracking and adaptation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clinic setup in Miraflores, launch Spanish digital platforms, initiate school partnerships.</w:t>
      </w:r>
    </w:p>
    <w:p>
      <w:pPr>
        <w:pStyle w:val="BodyText"/>
      </w:pPr>
      <w:r>
        <w:rPr>
          <w:bCs/>
          <w:b/>
        </w:rPr>
        <w:t xml:space="preserve">Months 4-6:</w:t>
      </w:r>
      <w:r>
        <w:t xml:space="preserve"> </w:t>
      </w:r>
      <w:r>
        <w:t xml:space="preserve">Roll out influencer campaigns; host first community event (Fiesta de la Cebolla).</w:t>
      </w:r>
    </w:p>
    <w:p>
      <w:pPr>
        <w:pStyle w:val="BodyText"/>
      </w:pPr>
      <w:r>
        <w:rPr>
          <w:bCs/>
          <w:b/>
        </w:rPr>
        <w:t xml:space="preserve">Months 7-12:</w:t>
      </w:r>
      <w:r>
        <w:t xml:space="preserve"> </w:t>
      </w:r>
      <w:r>
        <w:t xml:space="preserve">Introduce family packages; expand to corporate wellness programs with Lima businesses.</w:t>
      </w:r>
    </w:p>
    <w:bookmarkEnd w:id="30"/>
    <w:bookmarkStart w:id="31" w:name="evaluation-control"/>
    <w:p>
      <w:pPr>
        <w:pStyle w:val="Heading2"/>
      </w:pPr>
      <w:r>
        <w:t xml:space="preserve">Evaluation &amp; Control</w:t>
      </w:r>
    </w:p>
    <w:p>
      <w:pPr>
        <w:pStyle w:val="FirstParagraph"/>
      </w:pPr>
      <w:r>
        <w:t xml:space="preserve">We measure success through:</w:t>
      </w:r>
    </w:p>
    <w:p>
      <w:pPr>
        <w:numPr>
          <w:ilvl w:val="0"/>
          <w:numId w:val="1008"/>
        </w:numPr>
        <w:pStyle w:val="Compact"/>
      </w:pPr>
      <w:r>
        <w:rPr>
          <w:bCs/>
          <w:b/>
        </w:rPr>
        <w:t xml:space="preserve">KPIs:</w:t>
      </w:r>
      <w:r>
        <w:t xml:space="preserve"> </w:t>
      </w:r>
      <w:r>
        <w:t xml:space="preserve">Patient acquisition cost (target: S/ 800), social media engagement rate (target: 15%), and patient satisfaction scores (target: 4.7/5).</w:t>
      </w:r>
    </w:p>
    <w:p>
      <w:pPr>
        <w:numPr>
          <w:ilvl w:val="0"/>
          <w:numId w:val="1008"/>
        </w:numPr>
        <w:pStyle w:val="Compact"/>
      </w:pPr>
      <w:r>
        <w:rPr>
          <w:bCs/>
          <w:b/>
        </w:rPr>
        <w:t xml:space="preserve">Adaptation:</w:t>
      </w:r>
      <w:r>
        <w:t xml:space="preserve"> </w:t>
      </w:r>
      <w:r>
        <w:t xml:space="preserve">Monthly review of Lima-specific metrics—e.g., adjusting campaigns during school holidays when parents seek consultations.</w:t>
      </w:r>
    </w:p>
    <w:p>
      <w:pPr>
        <w:pStyle w:val="FirstParagraph"/>
      </w:pPr>
      <w:r>
        <w:t xml:space="preserve">Quarterly strategy sessions with Peruvian dental associations will ensure alignment with evolving local healthcare policies and consumer trends in Peru Lima.</w:t>
      </w:r>
    </w:p>
    <w:bookmarkEnd w:id="31"/>
    <w:bookmarkStart w:id="32" w:name="conclusion"/>
    <w:p>
      <w:pPr>
        <w:pStyle w:val="Heading2"/>
      </w:pPr>
      <w:r>
        <w:t xml:space="preserve">Conclusion</w:t>
      </w:r>
    </w:p>
    <w:p>
      <w:pPr>
        <w:pStyle w:val="FirstParagraph"/>
      </w:pPr>
      <w:r>
        <w:t xml:space="preserve">This Marketing Plan positions our orthodontist practice as an indispensable partner in Lima's oral health journey. By embedding cultural intelligence into every strategy—from Spanish digital experiences to community festival sponsorships—we will transform the perception of orthodontics from a medical necessity to a celebrated investment in personal identity. In Peru Lima, where 73% of consumers choose healthcare providers based on local community presence (Peru Market Research, 2023), our hyperlocal approach ensures sustainable growth while fulfilling the unmet demand for premium, accessible care in a market ripe for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Lima, Peru</dc:title>
  <dc:creator/>
  <dc:language>en</dc:language>
  <cp:keywords/>
  <dcterms:created xsi:type="dcterms:W3CDTF">2026-07-23T01:39:30Z</dcterms:created>
  <dcterms:modified xsi:type="dcterms:W3CDTF">2026-07-23T01:39:30Z</dcterms:modified>
</cp:coreProperties>
</file>

<file path=docProps/custom.xml><?xml version="1.0" encoding="utf-8"?>
<Properties xmlns="http://schemas.openxmlformats.org/officeDocument/2006/custom-properties" xmlns:vt="http://schemas.openxmlformats.org/officeDocument/2006/docPropsVTypes"/>
</file>