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Jeddah,</w:t>
      </w:r>
      <w:r>
        <w:t xml:space="preserve"> </w:t>
      </w:r>
      <w:r>
        <w:t xml:space="preserve">Saudi</w:t>
      </w:r>
      <w:r>
        <w:t xml:space="preserve"> </w:t>
      </w:r>
      <w:r>
        <w:t xml:space="preserve">Arabia</w:t>
      </w:r>
    </w:p>
    <w:bookmarkStart w:id="32" w:name="X59a2071277cf3ef78cfda2dae4952657e9669ad"/>
    <w:p>
      <w:pPr>
        <w:pStyle w:val="Heading1"/>
      </w:pPr>
      <w:r>
        <w:t xml:space="preserve">Comprehensive Marketing Plan for Premier Orthodontic Practice in Jeddah,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orthodontic practice in Jeddah, Saudi Arabia. As the healthcare sector expands across the Kingdom under Vision 2030, this plan positions our Orthodontist practice as the premier provider of advanced dental aesthetics and treatment solutions in Western Saudi Arabia. We target both local residents and expatriate communities seeking high-quality orthodontic care in Jeddah, leveraging cultural insights and digital innovation to capture significant market share within three years.</w:t>
      </w:r>
    </w:p>
    <w:bookmarkEnd w:id="20"/>
    <w:bookmarkStart w:id="21" w:name="X9393f36794c91629c98c8333db00e01e6ecf462"/>
    <w:p>
      <w:pPr>
        <w:pStyle w:val="Heading2"/>
      </w:pPr>
      <w:r>
        <w:t xml:space="preserve">Situation Analysis: Orthodontic Market in Saudi Arabia Jeddah</w:t>
      </w:r>
    </w:p>
    <w:p>
      <w:pPr>
        <w:pStyle w:val="FirstParagraph"/>
      </w:pPr>
      <w:r>
        <w:t xml:space="preserve">Jeddah represents the commercial hub of Western Saudi Arabia with a rapidly growing population of 5 million+ residents, including a young demographic (40% under 18) and substantial expatriate community. The orthodontics market is experiencing accelerated growth due to increased dental awareness, rising disposable incomes, and government initiatives promoting oral health. However, current service gaps exist: most clinics offer limited aesthetic options (e.g., traditional braces only), lack multilingual staff, and have inadequate digital engagement. This presents a critical opportunity for a forward-thinking Orthodontist to redefine patient experience in Saudi Arabia Jeddah.</w:t>
      </w:r>
    </w:p>
    <w:bookmarkEnd w:id="21"/>
    <w:bookmarkStart w:id="22" w:name="target-audience-segmentation"/>
    <w:p>
      <w:pPr>
        <w:pStyle w:val="Heading2"/>
      </w:pPr>
      <w:r>
        <w:t xml:space="preserve">Target Audience Segmentation</w:t>
      </w:r>
    </w:p>
    <w:p>
      <w:pPr>
        <w:pStyle w:val="FirstParagraph"/>
      </w:pPr>
      <w:r>
        <w:t xml:space="preserve">Our primary audience consists of three strategic segments:</w:t>
      </w:r>
    </w:p>
    <w:p>
      <w:pPr>
        <w:numPr>
          <w:ilvl w:val="0"/>
          <w:numId w:val="1001"/>
        </w:numPr>
        <w:pStyle w:val="Compact"/>
      </w:pPr>
      <w:r>
        <w:rPr>
          <w:bCs/>
          <w:b/>
        </w:rPr>
        <w:t xml:space="preserve">Teenage Patients (12-18 years):</w:t>
      </w:r>
      <w:r>
        <w:t xml:space="preserve"> </w:t>
      </w:r>
      <w:r>
        <w:t xml:space="preserve">Parents prioritizing cosmetic outcomes and social confidence. Key drivers: discreet treatments, flexible payment plans, and school-friendly scheduling.</w:t>
      </w:r>
    </w:p>
    <w:p>
      <w:pPr>
        <w:numPr>
          <w:ilvl w:val="0"/>
          <w:numId w:val="1001"/>
        </w:numPr>
        <w:pStyle w:val="Compact"/>
      </w:pPr>
      <w:r>
        <w:rPr>
          <w:bCs/>
          <w:b/>
        </w:rPr>
        <w:t xml:space="preserve">Adult Professionals (25-45 years):</w:t>
      </w:r>
      <w:r>
        <w:t xml:space="preserve"> </w:t>
      </w:r>
      <w:r>
        <w:t xml:space="preserve">Seeking clear aligners for aesthetic and convenience reasons. Focus on minimizing treatment time and professional image preservation.</w:t>
      </w:r>
    </w:p>
    <w:p>
      <w:pPr>
        <w:numPr>
          <w:ilvl w:val="0"/>
          <w:numId w:val="1001"/>
        </w:numPr>
        <w:pStyle w:val="Compact"/>
      </w:pPr>
      <w:r>
        <w:rPr>
          <w:bCs/>
          <w:b/>
        </w:rPr>
        <w:t xml:space="preserve">Expatriate Community:</w:t>
      </w:r>
      <w:r>
        <w:t xml:space="preserve"> </w:t>
      </w:r>
      <w:r>
        <w:t xml:space="preserve">International residents requiring English-speaking specialists with internationally recognized credentials. Emphasis on seamless insurance coordination and culturally sensitive care.</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45% market share among orthodontic services in Jeddah within 3 years</w:t>
      </w:r>
    </w:p>
    <w:p>
      <w:pPr>
        <w:numPr>
          <w:ilvl w:val="0"/>
          <w:numId w:val="1002"/>
        </w:numPr>
        <w:pStyle w:val="Compact"/>
      </w:pPr>
      <w:r>
        <w:t xml:space="preserve">Acquire 300 new patients quarterly through targeted digital campaigns</w:t>
      </w:r>
    </w:p>
    <w:p>
      <w:pPr>
        <w:numPr>
          <w:ilvl w:val="0"/>
          <w:numId w:val="1002"/>
        </w:numPr>
        <w:pStyle w:val="Compact"/>
      </w:pPr>
      <w:r>
        <w:t xml:space="preserve">Attain 92% patient satisfaction score (vs. industry average of 81%)</w:t>
      </w:r>
    </w:p>
    <w:p>
      <w:pPr>
        <w:numPr>
          <w:ilvl w:val="0"/>
          <w:numId w:val="1002"/>
        </w:numPr>
        <w:pStyle w:val="Compact"/>
      </w:pPr>
      <w:r>
        <w:t xml:space="preserve">Establish brand as "Jeddah's Most Trusted Orthodontist" in all local healthcare surveys</w:t>
      </w:r>
    </w:p>
    <w:bookmarkEnd w:id="23"/>
    <w:bookmarkStart w:id="27" w:name="core-marketing-strategies-tactics"/>
    <w:p>
      <w:pPr>
        <w:pStyle w:val="Heading2"/>
      </w:pPr>
      <w:r>
        <w:t xml:space="preserve">Core Marketing Strategies &amp; Tactics</w:t>
      </w:r>
    </w:p>
    <w:bookmarkStart w:id="24" w:name="X77ad140d1620b6660b3ec766bd0892112bf4e72"/>
    <w:p>
      <w:pPr>
        <w:pStyle w:val="Heading3"/>
      </w:pPr>
      <w:r>
        <w:t xml:space="preserve">1. Hyper-Localized Digital Presence (Saudi Arabia Jeddah Focus)</w:t>
      </w:r>
    </w:p>
    <w:p>
      <w:pPr>
        <w:pStyle w:val="FirstParagraph"/>
      </w:pPr>
      <w:r>
        <w:t xml:space="preserve">We will develop a culturally resonant digital ecosystem prioritizing Arabic-first content with seamless English integration. This includes:</w:t>
      </w:r>
    </w:p>
    <w:p>
      <w:pPr>
        <w:numPr>
          <w:ilvl w:val="0"/>
          <w:numId w:val="1003"/>
        </w:numPr>
        <w:pStyle w:val="Compact"/>
      </w:pPr>
      <w:r>
        <w:rPr>
          <w:bCs/>
          <w:b/>
        </w:rPr>
        <w:t xml:space="preserve">Localized SEO:</w:t>
      </w:r>
      <w:r>
        <w:t xml:space="preserve"> </w:t>
      </w:r>
      <w:r>
        <w:t xml:space="preserve">Optimizing for "orthodontist in Jeddah", "best braces near me Saudi Arabia" and culturally specific terms like "تقويم اسنان" (teqwiim as-sinaan)</w:t>
      </w:r>
    </w:p>
    <w:p>
      <w:pPr>
        <w:numPr>
          <w:ilvl w:val="0"/>
          <w:numId w:val="1003"/>
        </w:numPr>
        <w:pStyle w:val="Compact"/>
      </w:pPr>
      <w:r>
        <w:rPr>
          <w:bCs/>
          <w:b/>
        </w:rPr>
        <w:t xml:space="preserve">Jeddah Community Hub:</w:t>
      </w:r>
      <w:r>
        <w:t xml:space="preserve"> </w:t>
      </w:r>
      <w:r>
        <w:t xml:space="preserve">Creating Facebook/Instagram content featuring local landmarks (e.g., Al-Balad, Corniche) in treatment journey videos</w:t>
      </w:r>
    </w:p>
    <w:p>
      <w:pPr>
        <w:numPr>
          <w:ilvl w:val="0"/>
          <w:numId w:val="1003"/>
        </w:numPr>
        <w:pStyle w:val="Compact"/>
      </w:pPr>
      <w:r>
        <w:rPr>
          <w:bCs/>
          <w:b/>
        </w:rPr>
        <w:t xml:space="preserve">Telehealth Integration:</w:t>
      </w:r>
      <w:r>
        <w:t xml:space="preserve"> </w:t>
      </w:r>
      <w:r>
        <w:t xml:space="preserve">Offering Arabic-speaking virtual consultations via WhatsApp – addressing common barriers to initial appointments in Saudi Arabia Jeddah</w:t>
      </w:r>
    </w:p>
    <w:bookmarkEnd w:id="24"/>
    <w:bookmarkStart w:id="25" w:name="strategic-community-partnerships"/>
    <w:p>
      <w:pPr>
        <w:pStyle w:val="Heading3"/>
      </w:pPr>
      <w:r>
        <w:t xml:space="preserve">2. Strategic Community Partnerships</w:t>
      </w:r>
    </w:p>
    <w:p>
      <w:pPr>
        <w:pStyle w:val="FirstParagraph"/>
      </w:pPr>
      <w:r>
        <w:t xml:space="preserve">Leverage Jeddah's community-centric culture through:</w:t>
      </w:r>
    </w:p>
    <w:p>
      <w:pPr>
        <w:numPr>
          <w:ilvl w:val="0"/>
          <w:numId w:val="1004"/>
        </w:numPr>
        <w:pStyle w:val="Compact"/>
      </w:pPr>
      <w:r>
        <w:rPr>
          <w:bCs/>
          <w:b/>
        </w:rPr>
        <w:t xml:space="preserve">School &amp; University Programs:</w:t>
      </w:r>
      <w:r>
        <w:t xml:space="preserve"> </w:t>
      </w:r>
      <w:r>
        <w:t xml:space="preserve">Partnering with 50+ schools (public/private) for free dental screenings and oral health workshops – positioning our Orthodontist as a youth health advocate</w:t>
      </w:r>
    </w:p>
    <w:p>
      <w:pPr>
        <w:numPr>
          <w:ilvl w:val="0"/>
          <w:numId w:val="1004"/>
        </w:numPr>
        <w:pStyle w:val="Compact"/>
      </w:pPr>
      <w:r>
        <w:rPr>
          <w:bCs/>
          <w:b/>
        </w:rPr>
        <w:t xml:space="preserve">Muslim-Friendly Initiatives:</w:t>
      </w:r>
      <w:r>
        <w:t xml:space="preserve"> </w:t>
      </w:r>
      <w:r>
        <w:t xml:space="preserve">Collaborating with mosques for "Healthy Smiles Ramadan Campaign" offering complimentary check-ups during Eid preparations</w:t>
      </w:r>
    </w:p>
    <w:p>
      <w:pPr>
        <w:numPr>
          <w:ilvl w:val="0"/>
          <w:numId w:val="1004"/>
        </w:numPr>
        <w:pStyle w:val="Compact"/>
      </w:pPr>
      <w:r>
        <w:rPr>
          <w:bCs/>
          <w:b/>
        </w:rPr>
        <w:t xml:space="preserve">Corporate Wellness Tie-ups:</w:t>
      </w:r>
      <w:r>
        <w:t xml:space="preserve"> </w:t>
      </w:r>
      <w:r>
        <w:t xml:space="preserve">Exclusive contracts with major Jeddah employers (e.g., SABIC, Saudi Aramco) for employee orthodontic discounts</w:t>
      </w:r>
    </w:p>
    <w:bookmarkEnd w:id="25"/>
    <w:bookmarkStart w:id="26" w:name="Xd15295a9a469cd99a33974fc7b05f2fdb2dc0e2"/>
    <w:p>
      <w:pPr>
        <w:pStyle w:val="Heading3"/>
      </w:pPr>
      <w:r>
        <w:t xml:space="preserve">3. Premium Patient Experience Differentiation</w:t>
      </w:r>
    </w:p>
    <w:p>
      <w:pPr>
        <w:pStyle w:val="FirstParagraph"/>
      </w:pPr>
      <w:r>
        <w:t xml:space="preserve">Moving beyond clinical excellence to cultural intelligence:</w:t>
      </w:r>
    </w:p>
    <w:p>
      <w:pPr>
        <w:numPr>
          <w:ilvl w:val="0"/>
          <w:numId w:val="1005"/>
        </w:numPr>
        <w:pStyle w:val="Compact"/>
      </w:pPr>
      <w:r>
        <w:rPr>
          <w:bCs/>
          <w:b/>
        </w:rPr>
        <w:t xml:space="preserve">Cultural Training:</w:t>
      </w:r>
      <w:r>
        <w:t xml:space="preserve"> </w:t>
      </w:r>
      <w:r>
        <w:t xml:space="preserve">All staff certified in Saudi Arabian etiquette, including gender-specific care protocols (e.g., female patients served by female clinicians upon request)</w:t>
      </w:r>
    </w:p>
    <w:p>
      <w:pPr>
        <w:numPr>
          <w:ilvl w:val="0"/>
          <w:numId w:val="1005"/>
        </w:numPr>
        <w:pStyle w:val="Compact"/>
      </w:pPr>
      <w:r>
        <w:rPr>
          <w:bCs/>
          <w:b/>
        </w:rPr>
        <w:t xml:space="preserve">Aesthetic Innovation:</w:t>
      </w:r>
      <w:r>
        <w:t xml:space="preserve"> </w:t>
      </w:r>
      <w:r>
        <w:t xml:space="preserve">Launching "Jeddah Glow" clear aligner system with local flavor options (e.g., henna-inspired retainer designs)</w:t>
      </w:r>
    </w:p>
    <w:p>
      <w:pPr>
        <w:numPr>
          <w:ilvl w:val="0"/>
          <w:numId w:val="1005"/>
        </w:numPr>
        <w:pStyle w:val="Compact"/>
      </w:pPr>
      <w:r>
        <w:rPr>
          <w:bCs/>
          <w:b/>
        </w:rPr>
        <w:t xml:space="preserve">Payment Ecosystem:</w:t>
      </w:r>
      <w:r>
        <w:t xml:space="preserve"> </w:t>
      </w:r>
      <w:r>
        <w:t xml:space="preserve">Integrating Sharia-compliant financing through Saudi banks, offering 0% interest plans for 12 months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35%</w:t>
      </w:r>
    </w:p>
    <w:p>
      <w:pPr>
        <w:pStyle w:val="BodyText"/>
      </w:pPr>
      <w:r>
        <w:t xml:space="preserve">Saudi-focused content, Google Ads targeting Jeddah locations, social media campaigns</w:t>
      </w:r>
    </w:p>
    <w:p>
      <w:pPr>
        <w:pStyle w:val="BodyText"/>
      </w:pPr>
      <w:r>
        <w:t xml:space="preserve">Community Engagement</w:t>
      </w:r>
    </w:p>
    <w:p>
      <w:pPr>
        <w:pStyle w:val="BodyText"/>
      </w:pPr>
      <w:r>
        <w:t xml:space="preserve">25%</w:t>
      </w:r>
    </w:p>
    <w:p>
      <w:pPr>
        <w:pStyle w:val="BodyText"/>
      </w:pPr>
      <w:r>
        <w:t xml:space="preserve">&lt; td&gt;School programs, mosque partnerships, event sponsorships (e.g., Jeddah International Book Fair)</w:t>
      </w:r>
    </w:p>
    <w:p>
      <w:pPr>
        <w:pStyle w:val="BodyText"/>
      </w:pPr>
      <w:r>
        <w:t xml:space="preserve">Patient Experience Enhancement</w:t>
      </w:r>
    </w:p>
    <w:p>
      <w:pPr>
        <w:pStyle w:val="BodyText"/>
      </w:pPr>
      <w:r>
        <w:t xml:space="preserve">20%</w:t>
      </w:r>
    </w:p>
    <w:p>
      <w:pPr>
        <w:pStyle w:val="BodyText"/>
      </w:pPr>
      <w:r>
        <w:t xml:space="preserve">&lt; td&gt;Cultural training, aesthetic product development, multilingual staff</w:t>
      </w:r>
    </w:p>
    <w:p>
      <w:pPr>
        <w:pStyle w:val="BodyText"/>
      </w:pPr>
      <w:r>
        <w:t xml:space="preserve">Traditional Marketing</w:t>
      </w:r>
    </w:p>
    <w:p>
      <w:pPr>
        <w:pStyle w:val="BodyText"/>
      </w:pPr>
      <w:r>
        <w:t xml:space="preserve">15%</w:t>
      </w:r>
    </w:p>
    <w:p>
      <w:pPr>
        <w:pStyle w:val="BodyText"/>
      </w:pPr>
      <w:r>
        <w:t xml:space="preserve">&lt; td&gt;Local radio ads (Al-Arabiya), strategic print in Jeddah magazines (e.g., Jeddah Magazine)</w:t>
      </w:r>
    </w:p>
    <w:p>
      <w:pPr>
        <w:pStyle w:val="BodyText"/>
      </w:pPr>
      <w:r>
        <w:t xml:space="preserve">Evaluation &amp; Analytics</w:t>
      </w:r>
    </w:p>
    <w:p>
      <w:pPr>
        <w:pStyle w:val="BodyText"/>
      </w:pPr>
      <w:r>
        <w:t xml:space="preserve">5%</w:t>
      </w:r>
    </w:p>
    <w:p>
      <w:pPr>
        <w:pStyle w:val="BodyText"/>
      </w:pPr>
      <w:r>
        <w:t xml:space="preserve">&lt; td&gt;Digital tracking, patient satisfaction surveys, ROI analysis</w:t>
      </w:r>
    </w:p>
    <w:bookmarkEnd w:id="28"/>
    <w:bookmarkStart w:id="29" w:name="implementation-timeline"/>
    <w:p>
      <w:pPr>
        <w:pStyle w:val="Heading2"/>
      </w:pPr>
      <w:r>
        <w:t xml:space="preserve">Implementation Timeline</w:t>
      </w:r>
    </w:p>
    <w:p>
      <w:pPr>
        <w:pStyle w:val="FirstParagraph"/>
      </w:pPr>
      <w:r>
        <w:t xml:space="preserve">Q1 2024: Launch Arabic/English website with Jeddah-specific content; initiate school partnerships.</w:t>
      </w:r>
    </w:p>
    <w:p>
      <w:pPr>
        <w:pStyle w:val="BodyText"/>
      </w:pPr>
      <w:r>
        <w:t xml:space="preserve">Q2 2024: Roll out "Jeddah Glow" aligner system; begin mosque health initiatives.</w:t>
      </w:r>
    </w:p>
    <w:p>
      <w:pPr>
        <w:pStyle w:val="BodyText"/>
      </w:pPr>
      <w:r>
        <w:t xml:space="preserve">Q3 2024: Secure corporate wellness contracts with top 5 Jeddah employers; deploy digital ad campaign targeting expatriate neighborhoods (Al-Hazm, Al-Sulimaniya).</w:t>
      </w:r>
    </w:p>
    <w:p>
      <w:pPr>
        <w:pStyle w:val="BodyText"/>
      </w:pPr>
      <w:r>
        <w:t xml:space="preserve">Q4 2024: Evaluate first-year metrics; refine strategies for year two expansion.</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6"/>
        </w:numPr>
        <w:pStyle w:val="Compact"/>
      </w:pPr>
      <w:r>
        <w:rPr>
          <w:bCs/>
          <w:b/>
        </w:rPr>
        <w:t xml:space="preserve">Quantitative Metrics:</w:t>
      </w:r>
      <w:r>
        <w:t xml:space="preserve"> </w:t>
      </w:r>
      <w:r>
        <w:t xml:space="preserve">Patient acquisition cost (target: 30% below industry average), website conversion rate (target: 15%), social media engagement rate in Jeddah (target: 12%)</w:t>
      </w:r>
    </w:p>
    <w:p>
      <w:pPr>
        <w:numPr>
          <w:ilvl w:val="0"/>
          <w:numId w:val="1006"/>
        </w:numPr>
        <w:pStyle w:val="Compact"/>
      </w:pPr>
      <w:r>
        <w:rPr>
          <w:bCs/>
          <w:b/>
        </w:rPr>
        <w:t xml:space="preserve">Qualitative Metrics:</w:t>
      </w:r>
      <w:r>
        <w:t xml:space="preserve"> </w:t>
      </w:r>
      <w:r>
        <w:t xml:space="preserve">Monthly patient satisfaction surveys, referral rates from existing patients, community sentiment analysis via local social media monitoring</w:t>
      </w:r>
    </w:p>
    <w:p>
      <w:pPr>
        <w:pStyle w:val="FirstParagraph"/>
      </w:pPr>
      <w:r>
        <w:t xml:space="preserve">Monthly performance reviews will ensure agility in responding to market dynamics in Saudi Arabia Jeddah. Quarterly adjustments to the Marketing Plan will maintain alignment with Vision 2030 healthcare priorities.</w:t>
      </w:r>
    </w:p>
    <w:bookmarkEnd w:id="30"/>
    <w:bookmarkStart w:id="31" w:name="X58ce0fd3040cdc5cc658c62aa7f505f977992a8"/>
    <w:p>
      <w:pPr>
        <w:pStyle w:val="Heading2"/>
      </w:pPr>
      <w:r>
        <w:t xml:space="preserve">Conclusion: Future-Proofing Orthodontic Leadership</w:t>
      </w:r>
    </w:p>
    <w:p>
      <w:pPr>
        <w:pStyle w:val="FirstParagraph"/>
      </w:pPr>
      <w:r>
        <w:t xml:space="preserve">This Marketing Plan positions our Orthodontist practice not merely as a dental service provider, but as a cultural partner in Jeddah's health journey. By embedding Saudi Arabian values into every touchpoint – from multilingual care to community-driven initiatives – we create an unassailable brand identity. As the Kingdom accelerates its healthcare transformation, this Marketing Plan ensures our Orthodontist practice becomes synonymous with excellence in Saudi Arabia Jeddah, driving sustainable growth while fulfilling a critical need for advanced dental aesthetics in our vibrant city. The roadmap delivers measurable results through culturally intelligent execution, making it indispensable for any orthodontic enterprise targeting Jeddah's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Jeddah, Saudi Arabia</dc:title>
  <dc:creator/>
  <dc:language>en</dc:language>
  <cp:keywords/>
  <dcterms:created xsi:type="dcterms:W3CDTF">2026-07-24T05:50:56Z</dcterms:created>
  <dcterms:modified xsi:type="dcterms:W3CDTF">2026-07-24T05:50:56Z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