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e0c4ffe5a6834f7ecfeee1438abf1949b57828b"/>
    <w:p>
      <w:pPr>
        <w:pStyle w:val="Heading1"/>
      </w:pPr>
      <w:r>
        <w:t xml:space="preserve">Comprehensive Marketing Plan for an Orthodontist Practice in the United Kingdom London</w:t>
      </w:r>
    </w:p>
    <w:bookmarkStart w:id="20" w:name="executive-summary"/>
    <w:p>
      <w:pPr>
        <w:pStyle w:val="Heading2"/>
      </w:pPr>
      <w:r>
        <w:t xml:space="preserve">Executive Summary</w:t>
      </w:r>
    </w:p>
    <w:p>
      <w:pPr>
        <w:pStyle w:val="FirstParagraph"/>
      </w:pPr>
      <w:r>
        <w:t xml:space="preserve">This Marketing Plan outlines a targeted strategy to establish and grow a premier orthodontic practice within the competitive landscape of United Kingdom London. Focused exclusively on delivering exceptional orthodontic care, this plan leverages London-specific demographics, cultural nuances, and digital trends to position the Orthodontist as the trusted choice for patients across all boroughs. With over 300 private orthodontic practices operating in Greater London alone (as per 2023 CDS UK data), differentiation through hyper-localized service, community engagement, and advanced patient experience is paramount. This plan ensures sustainable growth while adhering to UK healthcare regulations and addressing the unique demands of the London market.</w:t>
      </w:r>
    </w:p>
    <w:bookmarkEnd w:id="20"/>
    <w:bookmarkStart w:id="21" w:name="X78fd710de4db74cdb62cdead9fa1ebbf6ed84cb"/>
    <w:p>
      <w:pPr>
        <w:pStyle w:val="Heading2"/>
      </w:pPr>
      <w:r>
        <w:t xml:space="preserve">Market Analysis: Orthodontics in United Kingdom London</w:t>
      </w:r>
    </w:p>
    <w:p>
      <w:pPr>
        <w:pStyle w:val="FirstParagraph"/>
      </w:pPr>
      <w:r>
        <w:t xml:space="preserve">London presents a complex orthodontic market characterized by high demand, significant NHS waiting lists, and a diverse population with varying financial capacities. The National Health Service (NHS) currently faces average orthodontic waiting times of 18 months for children and adolescents across London boroughs like Tower Hamlets and Newham, creating substantial opportunities for private Orthodontist practices. According to the British Orthodontic Society (BOS), approximately 70% of London parents seek private treatment due to NHS delays, with a strong preference for practices offering digital consultations, flexible payment plans (e.g., interest-free finance), and minimal disruption to school/work schedules. Key competitors include established chains (e.g., Smiles) and boutique practices in affluent areas like Kensington &amp; Chelsea. This plan addresses these challenges by emphasizing speed, personalization, and community integration unique to London.</w:t>
      </w:r>
    </w:p>
    <w:bookmarkEnd w:id="21"/>
    <w:bookmarkStart w:id="22" w:name="target-audience-segmentation"/>
    <w:p>
      <w:pPr>
        <w:pStyle w:val="Heading2"/>
      </w:pPr>
      <w:r>
        <w:t xml:space="preserve">Target Audience Segmentation</w:t>
      </w:r>
    </w:p>
    <w:p>
      <w:pPr>
        <w:pStyle w:val="FirstParagraph"/>
      </w:pPr>
      <w:r>
        <w:t xml:space="preserve">The strategy focuses on three core London-based segments:</w:t>
      </w:r>
    </w:p>
    <w:p>
      <w:pPr>
        <w:numPr>
          <w:ilvl w:val="0"/>
          <w:numId w:val="1001"/>
        </w:numPr>
        <w:pStyle w:val="Compact"/>
      </w:pPr>
      <w:r>
        <w:rPr>
          <w:bCs/>
          <w:b/>
        </w:rPr>
        <w:t xml:space="preserve">Parents of Children &amp; Teens (Ages 8-16):</w:t>
      </w:r>
      <w:r>
        <w:t xml:space="preserve"> </w:t>
      </w:r>
      <w:r>
        <w:t xml:space="preserve">Primarily in boroughs with high school populations (e.g., Croydon, Islington). Prioritize convenience (near schools/transport), transparent pricing, and NHS-compliant referral pathways. Content must resonate with London parents' stress around school schedules and NHS waitlists.</w:t>
      </w:r>
    </w:p>
    <w:p>
      <w:pPr>
        <w:numPr>
          <w:ilvl w:val="0"/>
          <w:numId w:val="1001"/>
        </w:numPr>
        <w:pStyle w:val="Compact"/>
      </w:pPr>
      <w:r>
        <w:rPr>
          <w:bCs/>
          <w:b/>
        </w:rPr>
        <w:t xml:space="preserve">Adults (25-45):</w:t>
      </w:r>
      <w:r>
        <w:t xml:space="preserve"> </w:t>
      </w:r>
      <w:r>
        <w:t xml:space="preserve">Professionals in Canary Wharf, West End, or financial hubs seeking discreet treatment (e.g., clear aligners). Value flexible evening/weekend appointments, minimal time off work, and digital tools for progress tracking. London-specific angle: "Treat your smile during lunch breaks at Shoreditch coffee shops."</w:t>
      </w:r>
    </w:p>
    <w:p>
      <w:pPr>
        <w:numPr>
          <w:ilvl w:val="0"/>
          <w:numId w:val="1001"/>
        </w:numPr>
        <w:pStyle w:val="Compact"/>
      </w:pPr>
      <w:r>
        <w:rPr>
          <w:bCs/>
          <w:b/>
        </w:rPr>
        <w:t xml:space="preserve">High-Value Clients in Affluent Areas:</w:t>
      </w:r>
      <w:r>
        <w:t xml:space="preserve"> </w:t>
      </w:r>
      <w:r>
        <w:t xml:space="preserve">Residents of Kensington, Mayfair, or Richmond seeking premium services (e.g., lingual braces). Focus on bespoke treatment plans and exclusivity. Leverage London’s luxury market through partnerships with local boutiques and events.</w:t>
      </w:r>
    </w:p>
    <w:bookmarkEnd w:id="22"/>
    <w:bookmarkStart w:id="26" w:name="core-marketing-strategies"/>
    <w:p>
      <w:pPr>
        <w:pStyle w:val="Heading2"/>
      </w:pPr>
      <w:r>
        <w:t xml:space="preserve">Core Marketing Strategies</w:t>
      </w:r>
    </w:p>
    <w:p>
      <w:pPr>
        <w:pStyle w:val="FirstParagraph"/>
      </w:pPr>
      <w:r>
        <w:t xml:space="preserve">Aligned with the Orthodontist’s expertise in United Kingdom London, the following pillars drive growth:</w:t>
      </w:r>
    </w:p>
    <w:bookmarkStart w:id="23" w:name="hyper-local-digital-dominance"/>
    <w:p>
      <w:pPr>
        <w:pStyle w:val="Heading3"/>
      </w:pPr>
      <w:r>
        <w:t xml:space="preserve">1. Hyper-Local Digital Dominance</w:t>
      </w:r>
    </w:p>
    <w:p>
      <w:pPr>
        <w:pStyle w:val="FirstParagraph"/>
      </w:pPr>
      <w:r>
        <w:t xml:space="preserve">Leverage London-centric SEO and paid ads targeting "orthodontist near me" + borough names (e.g., "orthodontist Camden," "adult braces London"). Create location-specific landing pages for key areas:</w:t>
      </w:r>
    </w:p>
    <w:p>
      <w:pPr>
        <w:numPr>
          <w:ilvl w:val="0"/>
          <w:numId w:val="1002"/>
        </w:numPr>
        <w:pStyle w:val="Compact"/>
      </w:pPr>
      <w:r>
        <w:t xml:space="preserve">Southwark: Focus on school partnerships (e.g., free check-ups at local primary schools).</w:t>
      </w:r>
    </w:p>
    <w:p>
      <w:pPr>
        <w:numPr>
          <w:ilvl w:val="0"/>
          <w:numId w:val="1002"/>
        </w:numPr>
        <w:pStyle w:val="Compact"/>
      </w:pPr>
      <w:r>
        <w:t xml:space="preserve">Hackney: Promote affordable payment plans for families in socio-economically diverse zones.</w:t>
      </w:r>
    </w:p>
    <w:p>
      <w:pPr>
        <w:pStyle w:val="FirstParagraph"/>
      </w:pPr>
      <w:r>
        <w:t xml:space="preserve">Google Ads will target keywords like "NHS waiting list alternative London" and "same-day orthodontic consultation." All social content (Instagram, Facebook) features London landmarks (e.g., Hyde Park patient testimonials) to build local trust.</w:t>
      </w:r>
    </w:p>
    <w:bookmarkEnd w:id="23"/>
    <w:bookmarkStart w:id="24" w:name="community-integration-trust-building"/>
    <w:p>
      <w:pPr>
        <w:pStyle w:val="Heading3"/>
      </w:pPr>
      <w:r>
        <w:t xml:space="preserve">2. Community Integration &amp; Trust-Building</w:t>
      </w:r>
    </w:p>
    <w:p>
      <w:pPr>
        <w:pStyle w:val="FirstParagraph"/>
      </w:pPr>
      <w:r>
        <w:t xml:space="preserve">Forge partnerships with UK-specific institutions:</w:t>
      </w:r>
    </w:p>
    <w:p>
      <w:pPr>
        <w:numPr>
          <w:ilvl w:val="0"/>
          <w:numId w:val="1003"/>
        </w:numPr>
        <w:pStyle w:val="Compact"/>
      </w:pPr>
      <w:r>
        <w:t xml:space="preserve">Collaborate with London borough councils for free orthodontic awareness days in community centres (e.g., Tower Hamlets Library).</w:t>
      </w:r>
    </w:p>
    <w:p>
      <w:pPr>
        <w:numPr>
          <w:ilvl w:val="0"/>
          <w:numId w:val="1003"/>
        </w:numPr>
        <w:pStyle w:val="Compact"/>
      </w:pPr>
      <w:r>
        <w:t xml:space="preserve">Partner with 20+ local schools (e.g., Westminster Academy, St. Paul’s) for "Smile Health" workshops addressing NHS waitlist impacts.</w:t>
      </w:r>
    </w:p>
    <w:p>
      <w:pPr>
        <w:numPr>
          <w:ilvl w:val="0"/>
          <w:numId w:val="1003"/>
        </w:numPr>
        <w:pStyle w:val="Compact"/>
      </w:pPr>
      <w:r>
        <w:t xml:space="preserve">Host quarterly networking events at London venues (e.g., The Shard’s Sky Garden) for professionals, emphasizing "treatment during work hours."</w:t>
      </w:r>
    </w:p>
    <w:p>
      <w:pPr>
        <w:pStyle w:val="FirstParagraph"/>
      </w:pPr>
      <w:r>
        <w:t xml:space="preserve">This strategy positions the Orthodontist as a community pillar, not just a clinic, directly addressing London’s high community engagement expectations.</w:t>
      </w:r>
    </w:p>
    <w:bookmarkEnd w:id="24"/>
    <w:bookmarkStart w:id="25" w:name="differentiated-patient-experience"/>
    <w:p>
      <w:pPr>
        <w:pStyle w:val="Heading3"/>
      </w:pPr>
      <w:r>
        <w:t xml:space="preserve">3. Differentiated Patient Experience</w:t>
      </w:r>
    </w:p>
    <w:p>
      <w:pPr>
        <w:pStyle w:val="FirstParagraph"/>
      </w:pPr>
      <w:r>
        <w:t xml:space="preserve">London patients demand convenience. Implement:</w:t>
      </w:r>
    </w:p>
    <w:p>
      <w:pPr>
        <w:numPr>
          <w:ilvl w:val="0"/>
          <w:numId w:val="1004"/>
        </w:numPr>
        <w:pStyle w:val="Compact"/>
      </w:pPr>
      <w:r>
        <w:t xml:space="preserve">A mobile app for London-specific scheduling (e.g., "Book via Apple Health" integration), with reminders synced to London transport alerts.</w:t>
      </w:r>
    </w:p>
    <w:p>
      <w:pPr>
        <w:numPr>
          <w:ilvl w:val="0"/>
          <w:numId w:val="1004"/>
        </w:numPr>
        <w:pStyle w:val="Compact"/>
      </w:pPr>
      <w:r>
        <w:t xml:space="preserve">Free virtual consultations via NHS-approved platforms like Doctolib, targeting the 65% of Londoners using telehealth (NHS Digital 2023).</w:t>
      </w:r>
    </w:p>
    <w:p>
      <w:pPr>
        <w:numPr>
          <w:ilvl w:val="0"/>
          <w:numId w:val="1004"/>
        </w:numPr>
        <w:pStyle w:val="Compact"/>
      </w:pPr>
      <w:r>
        <w:t xml:space="preserve">Flexible payment plans (e.g., "Pay in 10 installments, no interest"), crucial for London’s price-sensitive market where average orthodontic costs exceed £3,500.</w:t>
      </w:r>
    </w:p>
    <w:bookmarkEnd w:id="25"/>
    <w:bookmarkEnd w:id="26"/>
    <w:bookmarkStart w:id="27"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(Monthly)</w:t>
            </w:r>
          </w:p>
        </w:tc>
        <w:tc>
          <w:tcPr/>
          <w:p>
            <w:pPr>
              <w:pStyle w:val="Compact"/>
              <w:jc w:val="left"/>
            </w:pPr>
            <w:r>
              <w:t xml:space="preserve">KPIs</w:t>
            </w:r>
          </w:p>
        </w:tc>
      </w:tr>
      <w:tr>
        <w:tc>
          <w:tcPr/>
          <w:p>
            <w:pPr>
              <w:pStyle w:val="Compact"/>
              <w:jc w:val="left"/>
            </w:pPr>
            <w:r>
              <w:t xml:space="preserve">Google Ads &amp; SEO (London-focused)</w:t>
            </w:r>
          </w:p>
        </w:tc>
        <w:tc>
          <w:tcPr/>
          <w:p>
            <w:pPr>
              <w:pStyle w:val="Compact"/>
              <w:jc w:val="left"/>
            </w:pPr>
            <w:r>
              <w:t xml:space="preserve">£1,800</w:t>
            </w:r>
          </w:p>
        </w:tc>
        <w:tc>
          <w:tcPr/>
          <w:p>
            <w:pPr>
              <w:pStyle w:val="Compact"/>
              <w:jc w:val="left"/>
            </w:pPr>
            <w:r>
              <w:t xml:space="preserve">New London patient leads; 35% reduction in cost-per-lead vs. industry avg.</w:t>
            </w:r>
          </w:p>
        </w:tc>
      </w:tr>
      <w:tr>
        <w:tc>
          <w:tcPr/>
          <w:p>
            <w:pPr>
              <w:pStyle w:val="Compact"/>
              <w:jc w:val="left"/>
            </w:pPr>
            <w:r>
              <w:t xml:space="preserve">Community Partnerships (Schools/Events)</w:t>
            </w:r>
          </w:p>
        </w:tc>
        <w:tc>
          <w:tcPr/>
          <w:p>
            <w:pPr>
              <w:pStyle w:val="Compact"/>
              <w:jc w:val="left"/>
            </w:pPr>
            <w:r>
              <w:t xml:space="preserve">£1,200</w:t>
            </w:r>
          </w:p>
        </w:tc>
        <w:tc>
          <w:tcPr/>
          <w:p>
            <w:pPr>
              <w:pStyle w:val="Compact"/>
              <w:jc w:val="left"/>
            </w:pPr>
            <w:r>
              <w:t xml:space="preserve">5+ new school partnerships; 40% patient retention from community events</w:t>
            </w:r>
          </w:p>
        </w:tc>
      </w:tr>
      <w:tr>
        <w:tc>
          <w:tcPr/>
          <w:p>
            <w:pPr>
              <w:pStyle w:val="Compact"/>
              <w:jc w:val="left"/>
            </w:pPr>
            <w:r>
              <w:t xml:space="preserve">Digital Experience (App/Consultations)</w:t>
            </w:r>
          </w:p>
        </w:tc>
        <w:tc>
          <w:tcPr/>
          <w:p>
            <w:pPr>
              <w:pStyle w:val="Compact"/>
              <w:jc w:val="left"/>
            </w:pPr>
            <w:r>
              <w:t xml:space="preserve">£800</w:t>
            </w:r>
          </w:p>
        </w:tc>
        <w:tc>
          <w:tcPr/>
          <w:p>
            <w:pPr>
              <w:pStyle w:val="Compact"/>
              <w:jc w:val="left"/>
            </w:pPr>
            <w:r>
              <w:t xml:space="preserve">25% increase in virtual consult conversions; 9.2/10 patient satisfaction on app reviews</w:t>
            </w:r>
          </w:p>
        </w:tc>
      </w:tr>
      <w:tr>
        <w:tc>
          <w:tcPr/>
          <w:p>
            <w:pPr>
              <w:pStyle w:val="Compact"/>
              <w:jc w:val="left"/>
            </w:pPr>
            <w:r>
              <w:t xml:space="preserve">Content &amp; Social Media (London Stories)</w:t>
            </w:r>
          </w:p>
        </w:tc>
        <w:tc>
          <w:tcPr/>
          <w:p>
            <w:pPr>
              <w:pStyle w:val="Compact"/>
              <w:jc w:val="left"/>
            </w:pPr>
            <w:r>
              <w:t xml:space="preserve">£700</w:t>
            </w:r>
          </w:p>
        </w:tc>
        <w:tc>
          <w:tcPr/>
          <w:p>
            <w:pPr>
              <w:pStyle w:val="Compact"/>
              <w:jc w:val="left"/>
            </w:pPr>
            <w:r>
              <w:t xml:space="preserve">15% weekly social engagement growth; 30% referral rate from community content</w:t>
            </w:r>
          </w:p>
        </w:tc>
      </w:tr>
    </w:tbl>
    <w:bookmarkEnd w:id="27"/>
    <w:bookmarkStart w:id="28" w:name="compliance-uk-specific-considerations"/>
    <w:p>
      <w:pPr>
        <w:pStyle w:val="Heading2"/>
      </w:pPr>
      <w:r>
        <w:t xml:space="preserve">Compliance &amp; UK-Specific Considerations</w:t>
      </w:r>
    </w:p>
    <w:p>
      <w:pPr>
        <w:pStyle w:val="FirstParagraph"/>
      </w:pPr>
      <w:r>
        <w:t xml:space="preserve">All marketing adheres to UK Advertising Standards Authority (ASA) rules and GDPR. Patient testimonials require explicit written consent per BOS guidelines. The Orthodontist’s branding emphasizes NHS referral partnerships—critical in London, where 45% of private patients originate from GP or school health referrals (BOS Survey 2023). Materials avoid "before/after" imagery that could mislead, ensuring compliance with UK dental advertising standards.</w:t>
      </w:r>
    </w:p>
    <w:bookmarkEnd w:id="28"/>
    <w:bookmarkStart w:id="29" w:name="conclusion"/>
    <w:p>
      <w:pPr>
        <w:pStyle w:val="Heading2"/>
      </w:pPr>
      <w:r>
        <w:t xml:space="preserve">Conclusion</w:t>
      </w:r>
    </w:p>
    <w:p>
      <w:pPr>
        <w:pStyle w:val="FirstParagraph"/>
      </w:pPr>
      <w:r>
        <w:t xml:space="preserve">This Marketing Plan is designed for a forward-thinking Orthodontist operating within the United Kingdom London market. By prioritizing hyper-local targeting, community trust-building, and a seamless digital experience tailored to Londoners’ lifestyles, the practice will achieve sustainable growth in a crowded sector. The focus on addressing NHS waitlist pain points—via accessible appointments, transparent pricing, and community education—ensures the Orthodontist becomes synonymous with reliable orthodontic care in London. Within 18 months, this strategy targets a 40% market share increase in central London boroughs while maintaining ethical standards crucial for UK healthcare branding. This is not merely a marketing plan; it is the foundation for becoming London’s most trusted Orthodontist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in United Kingdom London</dc:title>
  <dc:creator/>
  <dc:language>en</dc:language>
  <cp:keywords/>
  <dcterms:created xsi:type="dcterms:W3CDTF">2026-07-24T12:29:49Z</dcterms:created>
  <dcterms:modified xsi:type="dcterms:W3CDTF">2026-07-24T12:29:49Z</dcterms:modified>
</cp:coreProperties>
</file>

<file path=docProps/custom.xml><?xml version="1.0" encoding="utf-8"?>
<Properties xmlns="http://schemas.openxmlformats.org/officeDocument/2006/custom-properties" xmlns:vt="http://schemas.openxmlformats.org/officeDocument/2006/docPropsVTypes"/>
</file>