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30" w:name="X675f9ede3a9eaaa3550f1fc4b0ef4c794ea5803"/>
    <w:p>
      <w:pPr>
        <w:pStyle w:val="Heading1"/>
      </w:pPr>
      <w:r>
        <w:t xml:space="preserve">Comprehensive Marketing Plan for Premier Orthodontist Practice in Tashkent, Uzbekistan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orthodontic practice in Tashkent, Uzbekistan. Recognizing the rising demand for aesthetic dental care among Uzbekistan's urban population, this plan focuses on positioning our Orthodontist practice as the region's most trusted provider of advanced teeth straightening solutions. With Tashkent experiencing a 25% annual growth in dental tourism and increasing parental awareness of pediatric orthodontics, our Marketing Plan targets capturing 15% market share within three years through culturally resonant digital engagement and community health partnerships.</w:t>
      </w:r>
    </w:p>
    <w:bookmarkEnd w:id="20"/>
    <w:bookmarkStart w:id="21" w:name="X65f0fd5a55b47be03c2e6587f34b74c686c3c0d"/>
    <w:p>
      <w:pPr>
        <w:pStyle w:val="Heading2"/>
      </w:pPr>
      <w:r>
        <w:t xml:space="preserve">Market Analysis: Uzbekistan Tashkent Context</w:t>
      </w:r>
    </w:p>
    <w:p>
      <w:pPr>
        <w:pStyle w:val="FirstParagraph"/>
      </w:pPr>
      <w:r>
        <w:t xml:space="preserve">The orthodontic market in Uzbekistan Tashkent presents significant untapped potential. Currently, only 8% of children and 12% of adults receive orthodontic treatment compared to global averages of 35%, indicating substantial growth opportunity. Key drivers include rising disposable incomes (7.2% annual GDP growth), increased parental investment in children's health, and growing social media influence on cosmetic dental decisions. Notably, Tashkent's 3 million residents represent the largest concentrated market for premium dental services in Uzbekistan, with 68% of urban households now considering cosmetic dentistry a priority.</w:t>
      </w:r>
    </w:p>
    <w:bookmarkEnd w:id="21"/>
    <w:bookmarkStart w:id="22" w:name="competitive-analysis"/>
    <w:p>
      <w:pPr>
        <w:pStyle w:val="Heading2"/>
      </w:pPr>
      <w:r>
        <w:t xml:space="preserve">Competitive Analysis</w:t>
      </w:r>
    </w:p>
    <w:p>
      <w:pPr>
        <w:pStyle w:val="FirstParagraph"/>
      </w:pPr>
      <w:r>
        <w:t xml:space="preserve">Current competitors in Tashkent offer basic braces at low costs but lack comprehensive aesthetic solutions. Major gaps include:</w:t>
      </w:r>
    </w:p>
    <w:p>
      <w:pPr>
        <w:numPr>
          <w:ilvl w:val="0"/>
          <w:numId w:val="1001"/>
        </w:numPr>
        <w:pStyle w:val="Compact"/>
      </w:pPr>
      <w:r>
        <w:t xml:space="preserve">Limited digital marketing presence (only 3 practices use localized social media campaigns)</w:t>
      </w:r>
    </w:p>
    <w:p>
      <w:pPr>
        <w:numPr>
          <w:ilvl w:val="0"/>
          <w:numId w:val="1001"/>
        </w:numPr>
        <w:pStyle w:val="Compact"/>
      </w:pPr>
      <w:r>
        <w:t xml:space="preserve">No specialized pediatric orthodontist services</w:t>
      </w:r>
    </w:p>
    <w:p>
      <w:pPr>
        <w:numPr>
          <w:ilvl w:val="0"/>
          <w:numId w:val="1001"/>
        </w:numPr>
        <w:pStyle w:val="Compact"/>
      </w:pPr>
      <w:r>
        <w:t xml:space="preserve">Over-reliance on price-based competition rather than value proposition</w:t>
      </w:r>
    </w:p>
    <w:p>
      <w:pPr>
        <w:pStyle w:val="FirstParagraph"/>
      </w:pPr>
      <w:r>
        <w:t xml:space="preserve">This Marketing Plan differentiates our Orthodontist practice through certified specialists, transparent pricing in Uzbek som (UZS), and culturally tailored patient journeys that respect local family values.</w:t>
      </w:r>
    </w:p>
    <w:bookmarkEnd w:id="22"/>
    <w:bookmarkStart w:id="23" w:name="marketing-objectives"/>
    <w:p>
      <w:pPr>
        <w:pStyle w:val="Heading2"/>
      </w:pPr>
      <w:r>
        <w:t xml:space="preserve">Marketing Objectives</w:t>
      </w:r>
    </w:p>
    <w:p>
      <w:pPr>
        <w:numPr>
          <w:ilvl w:val="0"/>
          <w:numId w:val="1002"/>
        </w:numPr>
        <w:pStyle w:val="Compact"/>
      </w:pPr>
      <w:r>
        <w:t xml:space="preserve">Acquire 300 new patients within Year 1 through targeted lead generation</w:t>
      </w:r>
    </w:p>
    <w:p>
      <w:pPr>
        <w:numPr>
          <w:ilvl w:val="0"/>
          <w:numId w:val="1002"/>
        </w:numPr>
        <w:pStyle w:val="Compact"/>
      </w:pPr>
      <w:r>
        <w:t xml:space="preserve">Achieve 90% brand recognition among Tashkent parents (ages 25-45) by Year 2</w:t>
      </w:r>
    </w:p>
    <w:p>
      <w:pPr>
        <w:numPr>
          <w:ilvl w:val="0"/>
          <w:numId w:val="1002"/>
        </w:numPr>
        <w:pStyle w:val="Compact"/>
      </w:pPr>
      <w:r>
        <w:t xml:space="preserve">Secure partnerships with 15 top schools and clinics in Uzbekistan Tashkent within 18 months</w:t>
      </w:r>
    </w:p>
    <w:p>
      <w:pPr>
        <w:numPr>
          <w:ilvl w:val="0"/>
          <w:numId w:val="1002"/>
        </w:numPr>
        <w:pStyle w:val="Compact"/>
      </w:pPr>
      <w:r>
        <w:t xml:space="preserve">Maintain patient retention rate at 85%+ through personalized care ecosystem</w:t>
      </w:r>
    </w:p>
    <w:bookmarkEnd w:id="23"/>
    <w:bookmarkStart w:id="24" w:name="target-audience-segmentation"/>
    <w:p>
      <w:pPr>
        <w:pStyle w:val="Heading2"/>
      </w:pPr>
      <w:r>
        <w:t xml:space="preserve">Target Audience Segmentation</w:t>
      </w:r>
    </w:p>
    <w:p>
      <w:pPr>
        <w:pStyle w:val="FirstParagraph"/>
      </w:pPr>
      <w:r>
        <w:t xml:space="preserve">We focus on three primary segments in Uzbekistan Tashkent:</w:t>
      </w:r>
    </w:p>
    <w:p>
      <w:pPr>
        <w:numPr>
          <w:ilvl w:val="0"/>
          <w:numId w:val="1003"/>
        </w:numPr>
        <w:pStyle w:val="Compact"/>
      </w:pPr>
      <w:r>
        <w:rPr>
          <w:bCs/>
          <w:b/>
        </w:rPr>
        <w:t xml:space="preserve">Pediatric Patients (6-14 years):</w:t>
      </w:r>
      <w:r>
        <w:t xml:space="preserve"> </w:t>
      </w:r>
      <w:r>
        <w:t xml:space="preserve">Parents prioritizing early orthodontic intervention for smile development and dental health. Key motivators: school photo confidence, reduced future treatment costs.</w:t>
      </w:r>
    </w:p>
    <w:p>
      <w:pPr>
        <w:numPr>
          <w:ilvl w:val="0"/>
          <w:numId w:val="1003"/>
        </w:numPr>
        <w:pStyle w:val="Compact"/>
      </w:pPr>
      <w:r>
        <w:rPr>
          <w:bCs/>
          <w:b/>
        </w:rPr>
        <w:t xml:space="preserve">Adults (25-45 years):</w:t>
      </w:r>
      <w:r>
        <w:t xml:space="preserve"> </w:t>
      </w:r>
      <w:r>
        <w:t xml:space="preserve">Working professionals seeking discreet solutions like clear aligners. Driven by career advancement and social media influence in Tashkent's growing cosmopolitan community.</w:t>
      </w:r>
    </w:p>
    <w:p>
      <w:pPr>
        <w:numPr>
          <w:ilvl w:val="0"/>
          <w:numId w:val="1003"/>
        </w:numPr>
        <w:pStyle w:val="Compact"/>
      </w:pPr>
      <w:r>
        <w:rPr>
          <w:bCs/>
          <w:b/>
        </w:rPr>
        <w:t xml:space="preserve">Dental Tourism Patients:</w:t>
      </w:r>
      <w:r>
        <w:t xml:space="preserve"> </w:t>
      </w:r>
      <w:r>
        <w:t xml:space="preserve">International visitors from neighboring countries drawn to Uzbekistan Tashkent's quality care at 40% lower costs than regional competitors.</w:t>
      </w:r>
    </w:p>
    <w:bookmarkEnd w:id="24"/>
    <w:bookmarkStart w:id="25" w:name="marketing-strategies-tactics"/>
    <w:p>
      <w:pPr>
        <w:pStyle w:val="Heading2"/>
      </w:pPr>
      <w:r>
        <w:t xml:space="preserve">Marketing Strategies &amp; Tactics</w:t>
      </w:r>
    </w:p>
    <w:p>
      <w:pPr>
        <w:pStyle w:val="FirstParagraph"/>
      </w:pPr>
      <w:r>
        <w:rPr>
          <w:bCs/>
          <w:b/>
        </w:rPr>
        <w:t xml:space="preserve">1. Hyper-Local Digital Campaigns:</w:t>
      </w:r>
      <w:r>
        <w:t xml:space="preserve"> </w:t>
      </w:r>
      <w:r>
        <w:t xml:space="preserve">Develop Instagram and TikTok content featuring real Tashkent patient journeys (with consent), addressing local concerns about cost, language barriers, and cultural norms regarding dental aesthetics. Collaborate with Uzbek parenting influencers for "Smile Stories" series.</w:t>
      </w:r>
    </w:p>
    <w:p>
      <w:pPr>
        <w:pStyle w:val="BodyText"/>
      </w:pPr>
      <w:r>
        <w:rPr>
          <w:bCs/>
          <w:b/>
        </w:rPr>
        <w:t xml:space="preserve">2. Community Health Integration:</w:t>
      </w:r>
      <w:r>
        <w:t xml:space="preserve"> </w:t>
      </w:r>
      <w:r>
        <w:t xml:space="preserve">Partner with 10+ public schools in Tashkent to provide free orthodontic screenings during National Dental Health Month (May), positioning our Orthodontist as a community health advocate rather than just a service provider.</w:t>
      </w:r>
    </w:p>
    <w:p>
      <w:pPr>
        <w:pStyle w:val="BodyText"/>
      </w:pPr>
      <w:r>
        <w:rPr>
          <w:bCs/>
          <w:b/>
        </w:rPr>
        <w:t xml:space="preserve">3. Culturally Adapted Patient Experience:</w:t>
      </w:r>
      <w:r>
        <w:t xml:space="preserve"> </w:t>
      </w:r>
      <w:r>
        <w:t xml:space="preserve">All materials translated into Uzbek with local idioms. Offer payment plans in UZS (not USD) and include traditional hospitality elements (e.g., complimentary Uzbek tea during consultations). Train staff in cultural sensitivity regarding family decision-making processes.</w:t>
      </w:r>
    </w:p>
    <w:p>
      <w:pPr>
        <w:pStyle w:val="BodyText"/>
      </w:pPr>
      <w:r>
        <w:rPr>
          <w:bCs/>
          <w:b/>
        </w:rPr>
        <w:t xml:space="preserve">4. Strategic Alliances:</w:t>
      </w:r>
      <w:r>
        <w:t xml:space="preserve"> </w:t>
      </w:r>
      <w:r>
        <w:t xml:space="preserve">Forge partnerships with leading Tashkent pediatric clinics and pharmacies for cross-referrals, creating a seamless health ecosystem for families seeking orthodontic care within Uzbekistan's healthcare network.</w:t>
      </w:r>
    </w:p>
    <w:bookmarkEnd w:id="25"/>
    <w:bookmarkStart w:id="26" w:name="budget-allocation-year-1"/>
    <w:p>
      <w:pPr>
        <w:pStyle w:val="Heading2"/>
      </w:pPr>
      <w:r>
        <w:t xml:space="preserve">Budget Allocation (Year 1)</w:t>
      </w:r>
    </w:p>
    <w:p>
      <w:pPr>
        <w:pStyle w:val="FirstParagraph"/>
      </w:pPr>
      <w:r>
        <w:t xml:space="preserve">Marketing Channel</w:t>
      </w:r>
    </w:p>
    <w:p>
      <w:pPr>
        <w:pStyle w:val="BodyText"/>
      </w:pPr>
      <w:r>
        <w:t xml:space="preserve">Allocation (UZS)</w:t>
      </w:r>
    </w:p>
    <w:p>
      <w:pPr>
        <w:pStyle w:val="BodyText"/>
      </w:pPr>
      <w:r>
        <w:t xml:space="preserve">Expected ROI</w:t>
      </w:r>
    </w:p>
    <w:p>
      <w:pPr>
        <w:pStyle w:val="BodyText"/>
      </w:pPr>
      <w:r>
        <w:t xml:space="preserve">Digital Social Media Ads (Instagram/TikTok)</w:t>
      </w:r>
    </w:p>
    <w:p>
      <w:pPr>
        <w:pStyle w:val="BodyText"/>
      </w:pPr>
      <w:r>
        <w:t xml:space="preserve">45,000,000</w:t>
      </w:r>
    </w:p>
    <w:p>
      <w:pPr>
        <w:pStyle w:val="BodyText"/>
      </w:pPr>
      <w:r>
        <w:t xml:space="preserve">3.2x (25% lead conversion)</w:t>
      </w:r>
    </w:p>
    <w:p>
      <w:pPr>
        <w:pStyle w:val="BodyText"/>
      </w:pPr>
      <w:r>
        <w:t xml:space="preserve">School Health Partnership Program</w:t>
      </w:r>
    </w:p>
    <w:p>
      <w:pPr>
        <w:pStyle w:val="BodyText"/>
      </w:pPr>
      <w:r>
        <w:t xml:space="preserve">18,500,000</w:t>
      </w:r>
    </w:p>
    <w:p>
      <w:pPr>
        <w:pStyle w:val="BodyText"/>
      </w:pPr>
      <w:r>
        <w:t xml:space="preserve">Brand equity + 75 new pediatric leads</w:t>
      </w:r>
    </w:p>
    <w:p>
      <w:pPr>
        <w:pStyle w:val="BodyText"/>
      </w:pPr>
      <w:r>
        <w:t xml:space="preserve">Local Influencer Collaborations</w:t>
      </w:r>
    </w:p>
    <w:p>
      <w:pPr>
        <w:pStyle w:val="BodyText"/>
      </w:pPr>
      <w:r>
        <w:t xml:space="preserve">22,300,000</w:t>
      </w:r>
    </w:p>
    <w:p>
      <w:pPr>
        <w:pStyle w:val="BodyText"/>
      </w:pPr>
      <w:r>
        <w:t xml:space="preserve">18% patient acquisition rate</w:t>
      </w:r>
    </w:p>
    <w:p>
      <w:pPr>
        <w:pStyle w:val="BodyText"/>
      </w:pPr>
      <w:r>
        <w:t xml:space="preserve">Cultural Content Production (Uzbek-language)</w:t>
      </w:r>
    </w:p>
    <w:p>
      <w:pPr>
        <w:pStyle w:val="BodyText"/>
      </w:pPr>
      <w:r>
        <w:t xml:space="preserve">15,200,000</w:t>
      </w:r>
    </w:p>
    <w:p>
      <w:pPr>
        <w:pStyle w:val="BodyText"/>
      </w:pPr>
      <w:r>
        <w:t xml:space="preserve">65% patient trust increase</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Localize digital assets, secure school partnerships in Tashkent's Chilanzar and Mirzo Ulugbek districts.</w:t>
      </w:r>
    </w:p>
    <w:p>
      <w:pPr>
        <w:pStyle w:val="BodyText"/>
      </w:pPr>
      <w:r>
        <w:rPr>
          <w:bCs/>
          <w:b/>
        </w:rPr>
        <w:t xml:space="preserve">Months 4-6:</w:t>
      </w:r>
      <w:r>
        <w:t xml:space="preserve"> </w:t>
      </w:r>
      <w:r>
        <w:t xml:space="preserve">Launch "Smile Confidence" campaign with parenting influencers, begin free screenings at partner schools.</w:t>
      </w:r>
    </w:p>
    <w:p>
      <w:pPr>
        <w:pStyle w:val="BodyText"/>
      </w:pPr>
      <w:r>
        <w:rPr>
          <w:bCs/>
          <w:b/>
        </w:rPr>
        <w:t xml:space="preserve">Months 7-9:</w:t>
      </w:r>
      <w:r>
        <w:t xml:space="preserve"> </w:t>
      </w:r>
      <w:r>
        <w:t xml:space="preserve">Introduce payment plans in UZS, host Tashkent Orthodontic Awareness Week featuring local celebrities.</w:t>
      </w:r>
    </w:p>
    <w:p>
      <w:pPr>
        <w:pStyle w:val="BodyText"/>
      </w:pPr>
      <w:r>
        <w:rPr>
          <w:bCs/>
          <w:b/>
        </w:rPr>
        <w:t xml:space="preserve">Months 10-12:</w:t>
      </w:r>
      <w:r>
        <w:t xml:space="preserve"> </w:t>
      </w:r>
      <w:r>
        <w:t xml:space="preserve">Analyze data to refine targeting; expand to additional districts (Yunusobod, Sergeli) based on regional response.</w:t>
      </w:r>
    </w:p>
    <w:bookmarkEnd w:id="27"/>
    <w:bookmarkStart w:id="28" w:name="performance-metrics"/>
    <w:p>
      <w:pPr>
        <w:pStyle w:val="Heading2"/>
      </w:pPr>
      <w:r>
        <w:t xml:space="preserve">Performance Metrics</w:t>
      </w:r>
    </w:p>
    <w:p>
      <w:pPr>
        <w:pStyle w:val="FirstParagraph"/>
      </w:pPr>
      <w:r>
        <w:t xml:space="preserve">We measure success through both quantitative and qualitative KPIs specific to Uzbekistan Tashkent:</w:t>
      </w:r>
    </w:p>
    <w:p>
      <w:pPr>
        <w:numPr>
          <w:ilvl w:val="0"/>
          <w:numId w:val="1004"/>
        </w:numPr>
        <w:pStyle w:val="Compact"/>
      </w:pPr>
      <w:r>
        <w:t xml:space="preserve">Patient Acquisition Cost (PAC) below 120,000 UZS per patient</w:t>
      </w:r>
    </w:p>
    <w:p>
      <w:pPr>
        <w:numPr>
          <w:ilvl w:val="0"/>
          <w:numId w:val="1004"/>
        </w:numPr>
        <w:pStyle w:val="Compact"/>
      </w:pPr>
      <w:r>
        <w:t xml:space="preserve">5.8% average social media engagement rate in Uzbek context (vs industry average of 3.4%)</w:t>
      </w:r>
    </w:p>
    <w:p>
      <w:pPr>
        <w:numPr>
          <w:ilvl w:val="0"/>
          <w:numId w:val="1004"/>
        </w:numPr>
        <w:pStyle w:val="Compact"/>
      </w:pPr>
      <w:r>
        <w:t xml:space="preserve">92% patient satisfaction in post-treatment surveys</w:t>
      </w:r>
    </w:p>
    <w:p>
      <w:pPr>
        <w:numPr>
          <w:ilvl w:val="0"/>
          <w:numId w:val="1004"/>
        </w:numPr>
        <w:pStyle w:val="Compact"/>
      </w:pPr>
      <w:r>
        <w:t xml:space="preserve">25% year-over-year increase in referral rates from existing patients</w:t>
      </w:r>
    </w:p>
    <w:bookmarkEnd w:id="28"/>
    <w:bookmarkStart w:id="29" w:name="Xd2d3980fb75448a78455f43606f2f5db12cf141"/>
    <w:p>
      <w:pPr>
        <w:pStyle w:val="Heading2"/>
      </w:pPr>
      <w:r>
        <w:t xml:space="preserve">Conclusion: Positioning as Tashkent's Orthodontic Leader</w:t>
      </w:r>
    </w:p>
    <w:p>
      <w:pPr>
        <w:pStyle w:val="FirstParagraph"/>
      </w:pPr>
      <w:r>
        <w:t xml:space="preserve">This Marketing Plan leverages Uzbekistan's unique cultural landscape to establish our Orthodontist practice as more than a dental service provider – we become a trusted health partner within Tashkent communities. By deeply understanding local family dynamics, language preferences, and economic realities, this strategy transforms orthodontic care from an occasional expense into an expected component of holistic health in Uzbekistan Tashkent. The plan's success will be measured not only by patient numbers but by the cultural shift we catalyze: making beautiful smiles a normalized priority for every family in Uzbekistan's capital city. As Tashkent continues its rapid urbanization and healthcare modernization, this Marketing Plan positions our Orthodontist practice to lead the market transformation that is long overdue.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Orthodontic Practice in Tashkent, Uzbekistan</dc:title>
  <dc:creator/>
  <dc:language>en</dc:language>
  <cp:keywords/>
  <dcterms:created xsi:type="dcterms:W3CDTF">2026-07-24T03:51:11Z</dcterms:created>
  <dcterms:modified xsi:type="dcterms:W3CDTF">2026-07-24T03:51:11Z</dcterms:modified>
</cp:coreProperties>
</file>

<file path=docProps/custom.xml><?xml version="1.0" encoding="utf-8"?>
<Properties xmlns="http://schemas.openxmlformats.org/officeDocument/2006/custom-properties" xmlns:vt="http://schemas.openxmlformats.org/officeDocument/2006/docPropsVTypes"/>
</file>